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175/2018 vom 19. November 2018</w:t>
      </w:r>
    </w:p>
    <w:p>
      <w:r>
        <w:t>Bundesgericht, 2018-11-19, FR</w:t>
      </w:r>
    </w:p>
    <w:p>
      <w:r>
        <w:rPr>
          <w:b/>
        </w:rPr>
        <w:t xml:space="preserve">Quelle: </w:t>
      </w:r>
      <w:r>
        <w:t>https://mcp.opencaselaw.ch/entscheid/bger_4A_175_2018</w:t>
      </w:r>
    </w:p>
    <w:p>
      <w:r>
        <w:t>FR: TF 4A 175/2018 du 19 novembre 2018</w:t>
      </w:r>
    </w:p>
    <w:p>
      <w:r>
        <w:t>IT: TF 4A 175/2018 del 19 novembre 2018</w:t>
      </w:r>
    </w:p>
    <w:p>
      <w:pPr>
        <w:pStyle w:val="Heading2"/>
      </w:pPr>
      <w:r>
        <w:t>Regeste</w:t>
      </w:r>
    </w:p>
    <w:p>
      <w:r>
        <w:t>responsabilité de l'avocat, allégation et preuve du dommag; | Droit des contrats</w:t>
      </w:r>
    </w:p>
    <w:p>
      <w:pPr>
        <w:pStyle w:val="Heading2"/>
      </w:pPr>
      <w:r>
        <w:t>Erwägungen</w:t>
      </w:r>
    </w:p>
    <w:p>
      <w:r>
        <w:rPr>
          <w:b/>
        </w:rPr>
        <w:t>E. 1</w:t>
      </w:r>
    </w:p>
    <w:p>
      <w:r>
        <w:t>Interjeté en temps utile ( art. 100 al. 1 LTF ) par la partie qui a succombé dans ses conclusions en dommages-intérêts ( art. 76 al. 1 LTF ) contre une décision finale ( art. 90 LTF ), prise sur appel par le tribunal supérieur du canton de Vaud ( art. 75 LTF ) dans une affaire de responsabilité d'un avocat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Le complètement de l'état de fait ne relève pas de l'arbitraire, puisqu'un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demanderesse recourante conteste avoir eu l'intention d'être bailleresse (ou sous-bailleresse), mais affirme avoir voulu transférer le bail à un tiers (i.e. en se retirant du bail). Elle se plaint d'appréciation arbitraire des preuves, en contradiction flagrante et choquante avec les éléments concrets du dossier et, partant, soutient que, contrairement à ce qu'a retenu la cour cantonale, la transaction couplée qu'elle envisageait était parfaitement valable au regard de l' art. 254 CO .</w:t>
      </w:r>
    </w:p>
    <w:p>
      <w:r>
        <w:rPr>
          <w:b/>
        </w:rPr>
        <w:t>E. 3.1</w:t>
      </w:r>
    </w:p>
    <w:p>
      <w:r>
        <w:t>En substance, la cour cantonale a nié que la sous-locataire ait subi un dommage de 250'250 fr.: elle a considéré que le dommage allégué au titre de perte du pas-de-porte était injustifié parce que la sous-locataire voulait obtenir le transfert du bail en sa faveur pour pouvoir négocier ensuite un pas-de-porte en qualité de bailleresse, en violation de l' art. 254 CO ; elle a jugé que le dommage découlant de la perte des investissements faits par la sous-locataire n'était pas établi. Pour ce faire, elle s'est basée exclusivement sur la nullité d'un éventuel contrat de pas-de-porte et reprise des investissements au sens de l' art. 254 CO , après avoir admis en fait que la demanderesse avait l'intention de devenir bailleresse en se basant sur deux éléments.</w:t>
      </w:r>
    </w:p>
    <w:p>
      <w:r>
        <w:rPr>
          <w:b/>
        </w:rPr>
        <w:t>E. 3.2</w:t>
      </w:r>
    </w:p>
    <w:p>
      <w:r>
        <w:t>Or, premièrement, c'est arbitrairement que la cour cantonale déduit de l'état de fait constaté que le courtier chargé de trouver un repreneur pour les locaux aurait été chargé de " sous-louer " les locaux (la demanderesse agissant alors en qualité de sous-bailleresse), dès lors que les termes utilisés parlent de " remettre " les locaux, de négocier " un projet de reprise ". Lors de son interrogatoire, le courtier n'a parlé que de " remettre sa boutique " et de " transférer le bail " ( art. 105 al. 2 LTF ). Deuxièmement, c'est également arbitrairement que la cour cantonale déduit de l'allégué 38 de la demande que la demanderesse entendait devenir locataire des locaux pour pouvoir les sous-louer à un repreneur et qu'elle aurait négocié un pas-de-porte en tant que bailleresse, alors que, dans cet allégué, il est clairement question " de transférer le contrat de sous-location à un tiers ". S'il est vrai que la demanderesse avait eu l'intention d'obtenir un bail direct avec la propriétaire, il ne peut en être déduit, sans arbitraire, qu'elle avait l'intention de rester locataire des locaux et de seulement les sous-louer à un tiers repreneur. La motivation de la cour cantonale, selon laquelle la demanderesse voulait obtenir le transfert du bail pour pouvoir sous-louer les locaux en qualité de bailleresse et ainsi négocier un pas-de-porte, ne résiste ainsi pas au grief d'arbitraire.</w:t>
      </w:r>
    </w:p>
    <w:p>
      <w:r>
        <w:rPr>
          <w:b/>
        </w:rPr>
        <w:t>E. 3.3</w:t>
      </w:r>
    </w:p>
    <w:p>
      <w:r>
        <w:t>Dans un argument de droit de son " mémoire-conclusion " du 21 septembre 2016, dont se prévaut désormais l'intimé dans sa réponse au recours, la recourante a évoqué les art. 262 et 263 CO , en indiquant que " la sous-location et le transfert du bail sont permis dans le domaine des baux commerciaux " et qu'elle " aurait pu sous-louer à son tour et/ou transférer le bail ". Il ne s'agit là toutefois que de considérations de portée générale, dont on ne saurait déduire la volonté réelle de la sous-locataire de conserver cette qualité et de seulement sous-sous-louer les locaux. Il ne s'impose toutefois pas d'examiner, dans le cadre de la présente action en responsabilité contre un avocat, qui repose sur l'éventualité d'un transfert du bail, la question de savoir si un sous-locataire peut valablement transférer, au regard de l' art. 254 CO , son contrat de sous-location à un repreneur contre un pas-de-porte (soit une contre-prestation pour la seule cession du droit d'user des locaux; Schlüsselgeld ), ni de soumettre ici à un réexamen l'arrêt du Tribunal fédéral 4C.161/2001 du 26 septembre 2001 cité par la cour cantonale et critiqué en doctrine (cf. parmi d'autres, cf. SVIT-Kommentar, Das schweizerische Mietrecht, 4e éd. 2018, n. 27 ss ad art. 254 CO et les références; Roger Weber, Basler Kommentar, 6e 2015, n. 5 ad art. 254 CO ). Le recours peut et doit en effet être rejeté par substitution des motifs qui suivent, étant précisé qu'un renvoi à la cour cantonale pour complètement de l'état de fait et nouvelle décision ne se justifie pas si le recourant n'indique pas où il a allégué ces faits et offert des moyens de preuve, en temps utile, avec références précises aux passages des écritures et aux pièces du dossier (cf. consid. 2.1 ci-dessus).</w:t>
      </w:r>
    </w:p>
    <w:p>
      <w:r>
        <w:rPr>
          <w:b/>
        </w:rPr>
        <w:t>E. 4</w:t>
      </w:r>
    </w:p>
    <w:p>
      <w:r>
        <w:t>En vertu de l' art. 398 al. 1 CO , qui renvoie à l' art. 321e al. 1 CO , l'avocat mandataire répond du dommage qu'il cause au mandant intentionnellement ou par négligence.</w:t>
      </w:r>
    </w:p>
    <w:p>
      <w:r>
        <w:rPr>
          <w:b/>
        </w:rPr>
        <w:t>E. 4.1</w:t>
      </w:r>
    </w:p>
    <w:p>
      <w:r>
        <w:t>Sa responsabilité est donc subordonnée aux quatre conditions suivantes, conformément au régime général de l' art. 97 CO (arrêt 4A_588/2011 du 3 mai 2012 consid. 2.2.2)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Le client mandant supporte le fardeau de l'allégation objectif ( objektive Behauptungslast ) et de la preuve ( Beweislast ) des trois premières conditions conformément à l' art. 8 CC (arrêt 4A_588/2011 précité consid. 2.2.2); il incombe en revanche à l'avocat mandataire de prouver qu'aucune faute ne lui est imputable (" à moins qu'il ne prouve... ").</w:t>
      </w:r>
    </w:p>
    <w:p>
      <w:r>
        <w:rPr>
          <w:b/>
        </w:rPr>
        <w:t>E. 4.1.1</w:t>
      </w:r>
    </w:p>
    <w:p>
      <w:r>
        <w:t>En ce qui concerne le dommage (deuxième condition), par renvoi de l' art. 99 al. 3 CO , le mandant doit prouver son dommage ( art. 42 al. 1 CO ). Toutefois, lorsque le montant exact du dommage ne peut être établi, le juge le détermine équitablement en considération du cours ordinaire des choses et des mesures prises par la partie lésée ( art. 42 al. 2 CO ). En vertu de l' art. 42 al. 1 CO , le demandeur doit donc en principe prouver non seulement l'existence du dommage, mais aussi son montant. L' 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 ATF 144 III 155 consid. 2.3; 122 III 219 consid. 3a et les arrêts cités; arrêt 4A_307/2008 du 27 novembre 2008 consid. 5.3; cf. HANS-PETER WALTER, in Berner Kommentar, n° 524 ad art. 8 CC ). Lorsque tel est le cas, l'existence (ou la survenance) du dommage doit être établie avec une vraisemblance prépondérante (arrêt 4A_285/2017 du 3 avril 2018 consid. 8.1; cf. WALTER, op. cit., n° 525 ad art. 8 CC ). Quand l' art. 42 al. 2 CO est applicable (état de nécessité quant à la preuve; Beweisnot ),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 ATF 131 III 360 consid. 5.1 p. 363 s.; 122 III 219 consid. 3a; arrêt 4A_97/2017 du 4 octobre 2017 consid. 4.1.3 et les arrêts cités).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 ATF 144 III 155 consid. 2.3 et les arrêts cités; arrêts 4A_285/2017 précité consid. 8.1; 4A_97/2017 déjà cité consid. 4.1.3; 4A_431/2015 du 19 avril 2016 consid. 5.1.2 et les arrêts cités; à propos des exigences en général en matière d'allégation de faits et de contestations de ceux-ci, cf. l'arrêt 4A_11/2018 du 8 octobre 2018 consid. 5, destiné à la publication).</w:t>
      </w:r>
    </w:p>
    <w:p>
      <w:r>
        <w:rPr>
          <w:b/>
        </w:rPr>
        <w:t>E. 4.1.2</w:t>
      </w:r>
    </w:p>
    <w:p>
      <w:r>
        <w:t>En ce qui concerne le rapport de causalité (troisième condition), la causalité naturelle entre deux événements est réalisée lorsque, sans le premier, le second ne se serait pas produit.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 ATF 133 III 81 consid. 4.2.2 p. 88, 462 consid. 4.4.2). Lorsque le manquement reproché au mandataire est une omission, l'examen du rapport de causalité naturelle revient à se demander si le dommage serait aussi survenu dans l'hypothèse où l'acte omis aurait été accompli. Un lien de causalité naturelle ne sera donc pas nécessairement prouvé avec une exactitude scientifique.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 ATF 132 III 715 consid. 3.2 p. 720; 115 II 440 consid. 5a et les arrêts cités).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arrêts cités).</w:t>
      </w:r>
    </w:p>
    <w:p>
      <w:r>
        <w:rPr>
          <w:b/>
        </w:rPr>
        <w:t>E. 4.2</w:t>
      </w:r>
    </w:p>
    <w:p>
      <w:r>
        <w:t>Il n'est pas contesté que l'avocat défendeur a violé fautivement ses obligations contractuelles: l'absence de consignation valable des loyers lui est imputable et il en est résulté la demeure de la sous-locataire demanderesse, qui a ouvert la voie à la résiliation anticipée du bail de sous-location pour défaut de paiement du loyer ( art. 257d CO ). Sous réserve de la question de la validité d'un contrat de pas-de-porte qui demeure ouverte ( art. 254 CO ; cf. consid. 3.3 ci-dessus), le lien de causalité naturelle hypothétique n'est pas non plus contestable, ni contesté par l'intimé: l'omission de l'avocat est en relation de causalité avec la résiliation du contrat de sous-location, laquelle a empêché tout (éventuel) transfert du contrat de sous-location à un repreneur et, partant, était susceptible d'occasionner une perte à la sous-locataire.</w:t>
      </w:r>
    </w:p>
    <w:p>
      <w:r>
        <w:rPr>
          <w:b/>
        </w:rPr>
        <w:t>E. 4.3</w:t>
      </w:r>
    </w:p>
    <w:p>
      <w:r>
        <w:t>Demeure litigieuse la question du dommage. Pour alléguer son dommage, en le motivant suffisamment, et le prouver, il incombait à la cliente demanderesse, sous-locataire des locaux, d'alléguer et de prouver qu'elle aurait pu transférer son bail de sous-location à un repreneur pour un pas-de-porte de 250'250 fr. Pour ce faire, elle devait alléguer et prouver qu'elle était au bénéfice d'une sous-location d'une certaine durée, qu'elle aurait trouvé un repreneur acceptant une simple sous-location, qu'elle aurait obtenu l'accord de la locataire, voire de la bailleresse et que le repreneur était prêt à payer un montant de 250'250 fr. Or, la durée du bail de sous-location ne résulte pas des faits constatés dans l'arrêt attaqué et la demanderesse recourante n'expose pas dans son recours où elle aurait allégué ce fait (cf. consid. 2.1 ci-dessus). En revanche, il découle de l'arrêt attaqué que le bureau d'experts a indiqué qu'il aurait été possible à la demanderesse de " sous-louer " (i.e. transférer son bail de sous-location) les locaux, mais qu'il ne pouvait déterminer s'il aurait été possible de trouver un sous-locataire à cette époque. Le courrier du courtier de mai 2007 fait certes état d'une offre d'un client, mais à ce stade de ses démarches et recherches, il n'est pas possible d'admettre, sur cette seule et unique base, la vraisemblance prépondérante de l'existence d'un repreneur avec lequel un contrat aurait pu être passé. La recourante ne soutient pas que d'autres intéressés auraient été trouvés et que l'état de fait serait incomplet, mais se borne à affirmer que puisqu'un pas-de-porte était usuel, " il était parfaitement possible de trouver un repreneur pour ces locaux, et que cela était même plus vraisemblable que le contraire "; or, cela ne constitue pas l'embryon d'une preuve concrète au degré de la vraisemblance prépondérante de la réalité de l'existence de repreneurs potentiels. En ce qui concerne le consentement de la locataire à ce transfert du contrat de sous-location (Peter Higi, Zürcher Kommentar, n. 20 ad art. 263 CO ), voire, comme le suppose la recourante, le consentement de la bailleresse au transfert du bail de sous-location à un tiers, ils ne sont pas établis au degré de la vraisemblance prépondérante. La recourante ne soutient pas que l'état de fait serait incomplet, mais se borne à affirmer qu'" il n'existe pas le moindre indice concret selon lequel le propriétaire aurait eu un motif valable pour refuser son consentement ". Enfin, s'agissant du montant même de 250'250 fr., s'il résulte bien du courrier du courtier qu'un montant de 275'000 fr., soit 250'250 fr. après déduction de la commission de courtage de 9%, avait été évoqué, on ignore quel montant la demanderesse réclamait à titre de pas-de-porte et quel montant à titre de reprise de commerce (i.e. selon la cour cantonale des " investissements " effectués par la sous-locataire). Et comme on vient de le voir, l'offre d'un seul intéressé dont fait état le courtier, de surcroît à ce stade initial de ses recherches et négociations, ne suffit pas pour apporter la preuve au degré de la vraisemblance prépondérante de l'existence d'un dommage de 250'250 fr. La question de savoir si la demanderesse aurait pu ou pourrait obtenir la constatation de la nullité des transactions couplées des 5 septembre 2005 et 5/7 septembre 2005 ayant permis à la bailleresse d'encaisser un " dédommagement " de 161'400 fr. et, partant, le remboursement de ce montant par celle qui l'a reçue n'est pas l'objet du présent procès et, au vu des faits reprochés au défendeur, ne peut exercer aucune influence sur la responsabilité de celui-ci.</w:t>
      </w:r>
    </w:p>
    <w:p>
      <w:r>
        <w:rPr>
          <w:b/>
        </w:rPr>
        <w:t>E. 5</w:t>
      </w:r>
    </w:p>
    <w:p>
      <w:r>
        <w:t>Le recours étant rejeté par substitution des motifs qui précèdent, les frais de la procédure et les dépens doivent être mis à la charge de la recourante (art. 66 al. 1 et 68 al. 1 LTF). Les dépens seront fixés en tenant compte du fait que la réponse écrite de l'intimé ne comprend, page de titre comprise, que trois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