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4A_174/2020 vom 20. Mai 2020</w:t>
      </w:r>
    </w:p>
    <w:p>
      <w:r>
        <w:t>Bundesgericht, 2020-05-20, DE</w:t>
      </w:r>
    </w:p>
    <w:p>
      <w:r>
        <w:rPr>
          <w:b/>
        </w:rPr>
        <w:t xml:space="preserve">Quelle: </w:t>
      </w:r>
      <w:r>
        <w:t>https://mcp.opencaselaw.ch/entscheid/bger_4A_174_2020</w:t>
      </w:r>
    </w:p>
    <w:p>
      <w:r>
        <w:t>FR: TF 4A_174/2020 du 20 mai 2020</w:t>
      </w:r>
    </w:p>
    <w:p>
      <w:r>
        <w:t>IT: TF 4A_174/2020 del 20 maggio 2020</w:t>
      </w:r>
    </w:p>
    <w:p>
      <w:pPr>
        <w:pStyle w:val="Heading2"/>
      </w:pPr>
      <w:r>
        <w:t>Erwägungen</w:t>
      </w:r>
    </w:p>
    <w:p>
      <w:r>
        <w:rPr>
          <w:b/>
        </w:rPr>
        <w:t>E. 1</w:t>
      </w:r>
    </w:p>
    <w:p>
      <w:r>
        <w:t>Am 22. Januar 2018 reichte die Beschwerdeführerin eine Klage betreffend einer Forderung aus Arbeitsvertrag beim Richteramt Thal-Gäu ein. Sie beantragte zusammengefasst, der Beschwerdegegner sei zu verpflichten, ihr ausstehenden Lohn von Fr. 1'915.00 brutto, den 13. Monatslohn von Fr. 897.30 brutto und Lohn für zwei Probetage von Fr. 293.35 brutto, jeweils zuzüglich Zins, zu bezahlen. Mit Urteil vom 21. November 2019 hiess der Amtsgerichtspräsident die Klage teilweise gut. Der Beschwerdegegner wurde verpflichtet, der Beschwerdeführerin Fr. 1'592.75 brutto nebst Zins zu 5 % seit dem 6. November 2017 zu bezahlen. Im Übrigen wurde die Klage abgewiesen.</w:t>
      </w:r>
    </w:p>
    <w:p>
      <w:r>
        <w:t>Dagegen erhob die Beschwerdeführerin Beschwerde an das Obergericht des Kantons Solothurn. Dieses wies die Beschwerde mit Urteil vom 16. März 2020 als offensichtlich unbegründet ab, soweit es darauf eintrat.</w:t>
      </w:r>
    </w:p>
    <w:p>
      <w:r>
        <w:t>Dagegen erhob die Beschwerdeführerin mit Eingabe vom 17. April 2020 Beschwerde an das Bundesgericht.</w:t>
      </w:r>
    </w:p>
    <w:p>
      <w:r>
        <w:t>Auf das Einholen von Vernehmlassungen zur Beschwerde wurde verzichtet.</w:t>
      </w:r>
    </w:p>
    <w:p>
      <w:r>
        <w:rPr>
          <w:b/>
        </w:rPr>
        <w:t>E. 2.1</w:t>
      </w:r>
    </w:p>
    <w:p>
      <w:r>
        <w:t>Das Bundesgericht prüft von Amtes wegen und mit freier Kognition, ob ein Rechtsmittel zulässig ist ( Art. 29 Abs. 1 BGG ; BGE 141 III 395 E. 2.1 mit Hinweisen).</w:t>
      </w:r>
    </w:p>
    <w:p>
      <w:r>
        <w:rPr>
          <w:b/>
        </w:rPr>
        <w:t>E. 2.2</w:t>
      </w:r>
    </w:p>
    <w:p>
      <w:r>
        <w:t>In arbeitsrechtlichen Angelegenheiten, wie hier eine vorliegt, ist die Beschwerde in Zivilsachen grundsätzlich nur zulässig, wenn der Streitwert mindestens Fr. 15'000.-- beträgt ( Art. 74 Abs. 1 lit. a BGG ). Der Streitwert der vorliegenden Streitsache erreicht diese Streitwertgrenze nicht.</w:t>
      </w:r>
    </w:p>
    <w:p>
      <w:r>
        <w:rPr>
          <w:b/>
        </w:rPr>
        <w:t>E. 2.3</w:t>
      </w:r>
    </w:p>
    <w:p>
      <w:r>
        <w:t>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2.4</w:t>
      </w:r>
    </w:p>
    <w:p>
      <w:r>
        <w:t>Die Beschwerdeführerin behauptet zwar, dass die Vorinstanz "Rechtsfragen grundsätzlicher Bedeutung nicht geklärt" habe. Sie legt aber offensichtlich nicht hinreichend dar, inwiefern sich im vorliegenden Fall eine Rechtsfrage von grundsätzlicher Bedeutung stellen könnte. Im Übrigen ist eine solche Rechtsfrage auch nicht ersichtlich.</w:t>
      </w:r>
    </w:p>
    <w:p>
      <w:r>
        <w:rPr>
          <w:b/>
        </w:rPr>
        <w:t>E. 2.5</w:t>
      </w:r>
    </w:p>
    <w:p>
      <w:r>
        <w:t>Unter diesen Umständen ist die Beschwerde in Zivilsachen nicht zulässig, sondern es steht nur die subsidiäre Verfassungsbeschwerde im Sinne der Art. 113-119 BGG offen.</w:t>
      </w:r>
    </w:p>
    <w:p>
      <w:r>
        <w:rPr>
          <w:b/>
        </w:rPr>
        <w:t>E. 3.1</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mit einer genügenden Begründung geltend zu machen hat ( BGE 136 I 332 E. 2.2; 133 III 439 E. 3.2 S. 445 mit Hinweis).</w:t>
      </w:r>
    </w:p>
    <w:p>
      <w:r>
        <w:t>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4.1</w:t>
      </w:r>
    </w:p>
    <w:p>
      <w:r>
        <w:t>Die Beschwerdeführerin verweist in ihrer Beschwerdeschrift vorab pauschal auf ihre vorinstanzliche Rechtsschrift "nebst allen Anlagen". Das ist unzulässig. In der Beschwerdeschrift ist in gedrängter Form darzulegen, inwiefern der angefochtene Entscheid Recht verletzt ( Art. 42 Abs. 2 BGG ). Die Begründung hat in der Beschwerdeschrift selbst zu erfolgen, und der blosse Verweis auf Ausführungen in andern Rechtsschriften oder auf die Akten reicht nicht aus ( BGE 140 III 115 E. 2 S. 116; 133 II 396 E. 3.2 S. 400).</w:t>
      </w:r>
    </w:p>
    <w:p>
      <w:r>
        <w:rPr>
          <w:b/>
        </w:rPr>
        <w:t>E. 4.2</w:t>
      </w:r>
    </w:p>
    <w:p>
      <w:r>
        <w:t>Auch im Übrigen erfüllt die Eingabe der Beschwerdeführerin die Begründungsanforderungen offensichtlich nicht. Sie rügt darin zwar eine Verletzung von Art. 29a BV und "einiger Artikel" der EMRK. Sodann beanstandet sie, dass ihr Recht auf "anwaltliche Vertretung, einen unabhängigen Richter, [die] Beurteilung innert angemessener Frist [und] ein effektiver Rechtsschutz" verletzt worden sei. Sie legt dafür vor Bundesgericht aber bloss in frei gehaltenen Ausführungen ihre Sicht der Dinge dar, ohne indessen auf die Erwägungen der Vorinstanz hinreichend konkret einzugehen, geschweige denn nachvollziehbar aufzuzeigen, inwiefern diese ihre verfassungsmässigen Rechte verletzt haben soll.</w:t>
      </w:r>
    </w:p>
    <w:p>
      <w:r>
        <w:t>Auf die Beschwerde ist somit mangels hinreichender Begründung nicht einzutreten ( Art. 108 Abs. 1 lit. b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der Beschwerdeführerin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