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4A_173/2026 vom 18. Mai 2026</w:t>
      </w:r>
    </w:p>
    <w:p>
      <w:r>
        <w:t>Bundesgericht, 2026-05-18, DE</w:t>
      </w:r>
    </w:p>
    <w:p>
      <w:r>
        <w:rPr>
          <w:b/>
        </w:rPr>
        <w:t xml:space="preserve">Quelle: </w:t>
      </w:r>
      <w:r>
        <w:t>https://mcp.opencaselaw.ch/entscheid/bger_4A_173_2026</w:t>
      </w:r>
    </w:p>
    <w:p>
      <w:r>
        <w:t>FR: TF 4A_173/2026 du 18 mai 2026</w:t>
      </w:r>
    </w:p>
    <w:p>
      <w:r>
        <w:t>IT: TF 4A_173/2026 del 18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3. März 2026 wies das Zivilgericht Basel-Stadt den Beschwerdeführer an, die von ihm gemietete 3-Zimmer-Wohnung in U.________ bis spätestens 13. März 2026 zu räumen.</w:t>
      </w:r>
    </w:p>
    <w:p>
      <w:r>
        <w:t>Mit Entscheid vom 14. April 2026 trat das Appellationsgericht des Kantons Basel-Stadt auf eine vom Beschwerdeführer gegen den zivilgerichtlichen Entscheid vom 3. März 2026 erhobene Berufung nicht ein.</w:t>
      </w:r>
    </w:p>
    <w:p>
      <w:r>
        <w:t>Mit Eingabe vom 19. April 2026 erklärte der Beschwerdeführer dem Bundesgericht, den Entscheid des Appellationsgerichts vom 14. April 2026 mit Beschwerde anfechten zu wollen.</w:t>
      </w:r>
    </w:p>
    <w:p>
      <w:r>
        <w:t>Am 22. und 24. April 2026 reichte der Beschwerdeführer dem Bundesgericht weitere Eingaben ein.</w:t>
      </w:r>
    </w:p>
    <w:p>
      <w:r>
        <w:t>Mit Verfügung vom 29. April 2026 wies das Bundesgericht das Gesuch des Beschwerdeführers um Erteilung der aufschiebenden Wirkung ab.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Der Beschwerdeführer wird bei diesem Verfahrensausgang kostenpflichtig ( Art. 66 Abs. 1 BGG ). Dem Beschwerdegegner steht keine Parteientschädigung zu, da ihm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