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173/2007 vom 12. September 2007</w:t>
      </w:r>
    </w:p>
    <w:p>
      <w:r>
        <w:t>Bundesgericht, 2007-09-12, FR</w:t>
      </w:r>
    </w:p>
    <w:p>
      <w:r>
        <w:rPr>
          <w:b/>
        </w:rPr>
        <w:t xml:space="preserve">Quelle: </w:t>
      </w:r>
      <w:r>
        <w:t>https://mcp.opencaselaw.ch/entscheid/bger_4A_173_2007</w:t>
      </w:r>
    </w:p>
    <w:p>
      <w:r>
        <w:t>FR: TF 4A 173/2007 du 12 septembre 2007</w:t>
      </w:r>
    </w:p>
    <w:p>
      <w:r>
        <w:t>IT: TF 4A 173/2007 del 12 settembre 2007</w:t>
      </w:r>
    </w:p>
    <w:p>
      <w:pPr>
        <w:pStyle w:val="Heading2"/>
      </w:pPr>
      <w:r>
        <w:t>Regeste</w:t>
      </w:r>
    </w:p>
    <w:p>
      <w:r>
        <w:t>retard injustifié | Procédure civile</w:t>
      </w:r>
    </w:p>
    <w:p>
      <w:pPr>
        <w:pStyle w:val="Heading2"/>
      </w:pPr>
      <w:r>
        <w:t>Erwägungen</w:t>
      </w:r>
    </w:p>
    <w:p>
      <w:r>
        <w:rPr>
          <w:b/>
        </w:rPr>
        <w:t>E. 1</w:t>
      </w:r>
    </w:p>
    <w:p>
      <w:r>
        <w:t>Le recours est formé au motif que le Tribunal des conflits tarde à rendre une décision ( art. 94 LTF ). Celle-ci est attendue en matière civile ( art. 72 al. 1 LTF ), en dernière instance cantonale ( art. 75 al. 1 LTF ) et par une partie dont les conclusions demeurent pendantes ( art. 76 al. 1 LTF ). Evaluée conformément à l' art. 51 al. 2 LTF , la valeur litigieuse excède certainement le minimum légal de 15'000 fr. prévu en matière de droit du travail ( art. 74 al. 1 let. a LTF ). Déposé dans les formes requises (art. 42 al. 1 à 3 LTF) et soumis à aucun délai ( art. 100 al. 7 LTF ), le recours ordinaire au Tribunal fédéral est recevable, notamment pour violation des droits constitutionnels fédéraux ( art. 95 let. a LTF ).</w:t>
      </w:r>
    </w:p>
    <w:p>
      <w:r>
        <w:rPr>
          <w:b/>
        </w:rPr>
        <w:t>E. 2</w:t>
      </w:r>
    </w:p>
    <w:p>
      <w:r>
        <w:t>Selon l' art. 29 al. 1 Cst. , toute personne a droit, dans une procédure judiciaire ou administrative, à ce que sa cause soit traitée équitablement et jugée dans un délai raisonnable. Le caractère raisonnable ou adéquat du délai de décision s'apprécie au regard de la nature de l'affaire et de l'ensemble des circonstances ( ATF 130 I 312 consid. 5.1 p. 331; 129 V 411 consid. 1.2 p. 416). Sur recours de la partie instante, lorsque l'autorité tarde sans justification à se prononcer, le Tribunal fédéral lui enjoint de le faire sans délai ( ATF 31 I 379 p. 384; voir aussi ATF 124 I 327 consid. 4b/bb p. 333). Le Tribunal des conflits doit examiner si le recours formé devant lui est recevable; dans l'affirmative, il doit déterminer si l'action entreprise par la demanderesse relève, ou non, de la compétence matérielle du Tribunal cantonal des assurances sociales. Il s'agit de problèmes purement juridiques qui ne sauraient nécessiter de très longues analyses. L'instruction semble terminée depuis plus de deux ans. Le tribunal, invité à prendre position sur le recours pour retard injustifié, ne fournit aucune explication à son silence. Dans ces conditions, la demanderesse est fondée à se plaindre d'un retard incompatible avec l' art. 29 al. 1 Cst. , ce qui conduit à l'admission du recours.</w:t>
      </w:r>
    </w:p>
    <w:p>
      <w:r>
        <w:rPr>
          <w:b/>
        </w:rPr>
        <w:t>E. 3</w:t>
      </w:r>
    </w:p>
    <w:p>
      <w:r>
        <w:t>Le Tribunal fédéral ne percevra pas d'émolument judiciaire mais le canton de Genève acquittera les dépens auxquels la demanderesse peut prétendre.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