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4A_172/2019 vom 4. Juni 2019</w:t>
      </w:r>
    </w:p>
    <w:p>
      <w:r>
        <w:t>Bundesgericht, 2019-06-04, FR</w:t>
      </w:r>
    </w:p>
    <w:p>
      <w:r>
        <w:rPr>
          <w:b/>
        </w:rPr>
        <w:t xml:space="preserve">Quelle: </w:t>
      </w:r>
      <w:r>
        <w:t>https://mcp.opencaselaw.ch/entscheid/bger_4A_172_2019</w:t>
      </w:r>
    </w:p>
    <w:p>
      <w:r>
        <w:t>FR: TF 4A_172/2019 du 4 juin 2019</w:t>
      </w:r>
    </w:p>
    <w:p>
      <w:r>
        <w:t>IT: TF 4A_172/2019 del 4 giugno 2019</w:t>
      </w:r>
    </w:p>
    <w:p>
      <w:pPr>
        <w:pStyle w:val="Heading2"/>
      </w:pPr>
      <w:r>
        <w:t>Erwägungen</w:t>
      </w:r>
    </w:p>
    <w:p>
      <w:r>
        <w:rPr>
          <w:b/>
        </w:rPr>
        <w:t>E. 1.1</w:t>
      </w:r>
    </w:p>
    <w:p>
      <w:r>
        <w:t>Les décisions qui sont notifiées séparément et qui portent sur une demande de récusation sont susceptibles d'un recours selon l' art. 92 al. 1 LTF .</w:t>
      </w:r>
    </w:p>
    <w:p>
      <w:r>
        <w:rPr>
          <w:b/>
        </w:rPr>
        <w:t>E. 1.2</w:t>
      </w:r>
    </w:p>
    <w:p>
      <w:r>
        <w:t>En vertu du principe de l'unité de la procédure, la voie de recours contre une décision incidente est déterminée par le litige principal ( ATF 137 III 380 consid. 1.1). En l'occurrence, la procédure dans le cadre de laquelle la requête de récusation a été formée ressortit au droit de la concurrence déloyale, de sorte que la décision rendue dans cette cause est sujette au recours en matière civile ( art. 72 al. 1 LTF ).</w:t>
      </w:r>
    </w:p>
    <w:p>
      <w:r>
        <w:rPr>
          <w:b/>
        </w:rPr>
        <w:t>E. 1.3</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w:t>
      </w:r>
    </w:p>
    <w:p>
      <w:r>
        <w:t>Dans les litiges qui relèvent de la loi fédérale du 19 décembre 1986 contre la concurrence déloyale (LCD), et dont la valeur litigieuse dépasse 30'000 fr., l' art. 5 al. 1 let . d CPC prévoit une instance cantonale unique. En l'occurrence, l'intimé a considéré que ce cas de figure était réalisé et a agi en application des règles de compétence y relatives; en l'état et dans le cadre du présent recours, il n'y a pas à remettre en cause cette analyse.</w:t>
      </w:r>
    </w:p>
    <w:p>
      <w:r>
        <w:t>Dans la mesure où la recourante conteste une décision portant sur la récusation d'un juge d'une instance cantonale unique, un recours immédiat au Tribunal fédéral est ouvert, à l'exclusion d'un recours selon les art. 319 ss CPC , et ce, indépendamment de la valeur litigieuse (art. 74 al. 2 let. b et 75 al. 2 let. a LTF; D ENIS TAPPY, in Commentaire du CPC, 2e éd. 2019, nos 35 et 39 ad art. 50 CPC ; STEPHAN WULLSCHLEGER, in Kommentar zur Schweizerischen Zivilprozessordnung, 3e éd. 2016, no 21 ad art. 50 CPC ; S TAEHELIN ET ALII, Zivilprozessrecht, 2e éd. 2013, § 6 no 28).</w:t>
      </w:r>
    </w:p>
    <w:p>
      <w:r>
        <w:t>A cet égard, une précision s'impose. Le droit cantonal valaisan prévoit la possibilité de former un recours au niveau cantonal contre la décision de récusation concernant un juge cantonal ( art. 35 al. 3 let . c et 22 al. 1 let. b de la loi du 11 février 2009 sur l'organisation de la Justice (LOJ), RS/VS 173.1). Cette voie de droit cantonale est contraire au droit fédéral en tant qu'elle vise, comme en l'espèce, une décision portant sur la récusation d'un juge d'une autorité statuant en instance cantonale unique. En effet, toutes les décisions prises par une instance cantonale unique au sens de l' art. 5 CPC - qu'il s'agisse de décisions au fond ou non - ne peuvent faire l'objet que d'un recours au Tribunal fédéral, pour autant que celui-ci soit ouvert (Message du 28 juin 2006 relatif au code de procédure civile suisse, FF 2006 6984; JACQUES HALDY, in Commentaire du CPC, 2e éd. 2019,no 9 ad art. 5 CPC ; T HEODOR HÄRTSCH, in Schweizerische Zivilprozessordnung [ZPO], 2010, nos 36 s.). Cette exigence s'applique également à la décision de récusation, qui n'est pas formellement rendue par l'instance cantonale unique, mais qui vise l'un des juges qui la compose (TAPPY, op. cit., nos 35 et 39 ad art. 50 CPC ; WULLSCHLEGER, op. cit., no 21 ad art. 50 CPC ). Partant, seule la voie du recours au Tribunal fédéral est ouverte en l'espèce.</w:t>
      </w:r>
    </w:p>
    <w:p>
      <w:r>
        <w:rPr>
          <w:b/>
        </w:rPr>
        <w:t>E. 1.4</w:t>
      </w:r>
    </w:p>
    <w:p>
      <w:r>
        <w:t>Au surplus, le recours est exercé par une partie qui possède un intérêt digne de protection à la modification de la décision entreprise et qui a donc qualité pour recourir ( art. 76 al. 1 LTF ); il a été déposé dans le délai (art. 45 al. 1 et 100 al. 1 LTF) et la forme ( art. 42 LTF ) prévus par la loi. Il convient dès lors d'entrer en matière.</w:t>
      </w:r>
    </w:p>
    <w:p>
      <w:r>
        <w:rPr>
          <w:b/>
        </w:rPr>
        <w:t>E. 2.1</w:t>
      </w:r>
    </w:p>
    <w:p>
      <w:r>
        <w:t>Le Tribunal fédéral statue sur la base des faits retenus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w:t>
      </w:r>
    </w:p>
    <w:p>
      <w:r>
        <w:rPr>
          <w:b/>
        </w:rPr>
        <w:t>E. 2.2</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w:t>
      </w:r>
    </w:p>
    <w:p>
      <w:r>
        <w:rPr>
          <w:b/>
        </w:rPr>
        <w:t>E. 3</w:t>
      </w:r>
    </w:p>
    <w:p>
      <w:r>
        <w:t>Dans un premier moyen, la recourante, invoquant l' art. 9 Cst. , reproche à l'autorité précédente d'avoir opéré une constatation manifestement inexacte des faits.</w:t>
      </w:r>
    </w:p>
    <w:p>
      <w:r>
        <w:rPr>
          <w:b/>
        </w:rPr>
        <w:t>E. 3.1</w:t>
      </w:r>
    </w:p>
    <w:p>
      <w:r>
        <w:t>Elle soutient tout d'abord que le Président du Tribunal cantonal du canton du Valais, en décrivant de façon détaillée ce que l'intimé a entrepris lors de l'instruction de la cause, aurait de la sorte minimisé ses périodes d'inaction, laissant ainsi entendre que celui-ci a dû faire face à des périodes d'activité intense. L'autorité précédente aurait ainsi dépeint les faits de manière manifestement inexacte.</w:t>
      </w:r>
    </w:p>
    <w:p>
      <w:r>
        <w:t>Semblable argumentation tombe à faux. Dans la décision attaquée, l'autorité précédente a retracé précisément le déroulement de la procédure instruite par l'intimé. En procédant de la sorte, elle n'a ainsi nullement constaté les faits de façon inexacte. Savoir si, sur la base des constatations de fait qui lient la Cour de céans, l'autorité cantonale a nié à bon droit toute prévention de l'intimé est une question de droit qui sera examinée plus loin (cf.</w:t>
      </w:r>
    </w:p>
    <w:p>
      <w:r>
        <w:t>infra consid. 4.4).</w:t>
      </w:r>
    </w:p>
    <w:p>
      <w:r>
        <w:rPr>
          <w:b/>
        </w:rPr>
        <w:t>E. 3.2</w:t>
      </w:r>
    </w:p>
    <w:p>
      <w:r>
        <w:t>La recourante fait ensuite grief à l'autorité cantonale d'avoir considéré à tort que l'article de presse, paru dans l'édition de</w:t>
      </w:r>
    </w:p>
    <w:p>
      <w:r>
        <w:t>Y.________ du... 2018 et produit à l'appui de la requête de récusation, était sans pertinence pour statuer sur le sort de cette demande. A en croire l'intéressée, ledit article serait primordial car il démontrerait que l'intimé, en laissant " dormir " le dossier, aurait nécessairement favorisé la défenderesse. En écartant cette pièce, l'autorité précédente aurait dès lors constaté les faits de manière erronée.</w:t>
      </w:r>
    </w:p>
    <w:p>
      <w:r>
        <w:t>Tel qu'il est présenté le grief ne saurait prospérer. Force est d'emblée de relever qu'en reprochant à l'autorité cantonale d'avoir établi les faits de manière inexacte, la recourante s'en prend à l'appréciation des preuves, sans toutefois démontrer en quoi celle-ci serait arbitraire. La recevabilité de son grief apparaît dès lors douteuse. Quoi qu'il en soit, la Cour de céans ne décèle aucun arbitraire dans l'appréciation des preuves effectuée par l'autorité précédente. En effet, la parution de l'article de presse précité ne permet pas d'en déduire</w:t>
      </w:r>
    </w:p>
    <w:p>
      <w:r>
        <w:t>ipso facto que l'intimé, en laissant prétendument traîner la procédure, aurait nécessairement favorisé la société éditant</w:t>
      </w:r>
    </w:p>
    <w:p>
      <w:r>
        <w:t>Y.________ .</w:t>
      </w:r>
    </w:p>
    <w:p>
      <w:r>
        <w:rPr>
          <w:b/>
        </w:rPr>
        <w:t>E. 4.1</w:t>
      </w:r>
    </w:p>
    <w:p>
      <w:r>
        <w:t>Dans un second moyen, la recourante dénonce la violation des art. 29 al. 1 et 30 Cst. ainsi que de l' art. 47 al. 1 let . f CPC. Avant d'examiner les mérites des critiques formulées par l'intéressée au soutien de ce moyen, il convient de rappeler les principes juridiques applicables en la matière.</w:t>
      </w:r>
    </w:p>
    <w:p>
      <w:r>
        <w:rPr>
          <w:b/>
        </w:rPr>
        <w:t>E. 4.1.1</w:t>
      </w:r>
    </w:p>
    <w:p>
      <w:r>
        <w:t>L' 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p. 377). A cet égard, il appartient au justiciable d'entreprendre ce qui est en son pouvoir pour que l'autorité fasse diligence, que ce soit en l'invitant à accélérer la procédure ou en recourant, le cas échéant, pour retard injustifié ( ATF 130 I 312 consid. 5.2; arrêt 2C_1058/2017 du 5 février 2019 consid. 8.1). Par ailleurs, on ne saurait reprocher à l'autorité quelques temps morts, qui sont inévitables dans une procédure. Lorsqu'aucun d'eux n'est d'une durée vraiment choquante, c'est l'appréciation d'ensemble qui prévaut ( ATF 130 I 312 consid. 5.2).</w:t>
      </w:r>
    </w:p>
    <w:p>
      <w:r>
        <w:rPr>
          <w:b/>
        </w:rPr>
        <w:t>E. 4.1.2</w:t>
      </w:r>
    </w:p>
    <w:p>
      <w:r>
        <w:t>La garantie d'un juge indépendant et impartial telle qu'elle résulte des art. 30 al. 1 Cst. et 6 par.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142 III 732 consid. 4.2.2; 142 III 521 consid. 3.1.1; 140 III 221 consid. 4.1; 139 III 120 consid. 3.2.1, 433 consid. 2.1.2; 139 I 121 consid. 5.1; 138 I 1 consid. 2.2; 138 IV 142 consid. 2.1).</w:t>
      </w:r>
    </w:p>
    <w:p>
      <w:r>
        <w:t>L' art. 47 CPC dresse une liste exhaustive des motifs de récusation. Le juge d'une cause civile est récusable dans les cas énumérés à l'art. 47 al. 1 let. a à e CPC; il est aussi récusable, selon l' art. 47 al. 1 let . f CPC - qui constitue une clause générale -, s'il est « de toute autre manière » suspect de partialité. Selon la jurisprudence, l' art. 47 CPC doit être appliqué dans le respect des principes de la garantie d'un tribunal indépendant et impartial instituée par les art. 6 par. 1 CEDH et 30 al. 1 Cst. ( ATF 140 III 221 consid. 4.2 p. 222; 139 III 433 consid. 2.2 i.f. p. 441).</w:t>
      </w:r>
    </w:p>
    <w:p>
      <w:r>
        <w:t>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 ATF 138 IV 142 consid. 2.3 p. 146; 116 Ia 135 consid. 3a p. 138).</w:t>
      </w:r>
    </w:p>
    <w:p>
      <w:r>
        <w:t>Dans un arrêt non publié rendu en matière de privation de liberté à des fins d'assistance, le Tribunal fédéral a considéré que la partialité d'un juge pouvait résulter de son inactivité (arrêt 5A_819/2011 du 13 décembre 2011).</w:t>
      </w:r>
    </w:p>
    <w:p>
      <w:r>
        <w:rPr>
          <w:b/>
        </w:rPr>
        <w:t>E. 4.1.3</w:t>
      </w:r>
    </w:p>
    <w:p>
      <w:r>
        <w:t>Aux termes de l' art. 49 al. 1 CPC , la partie qui entend obtenir la récusation d'un magistrat ou d'un fonctionnaire judiciaire la demande au tribunal aussitôt qu'elle a eu connaissance du motif de récusation. A défaut, elle est déchue du droit de s'en prévaloir ultérieurement ( ATF 136 I 207 consid. 3.4 p. 211; ATF 134 I 20 consid. 4.3.1 p. 21). L' art. 49 CPC ne fixe pas de délai pour solliciter la récusation, mais précise qu'elle doit être requise " aussitôt " après la connaissance du motif invoqué. Cela rejoint les exigences des art. 36 al. 1 LTF et 58 al. 1 CPP (TAPPY, op. cit., no 10 ad art. 49 CPC ). Dans plusieurs arrêts rendus en matière de procédure pénale, le Tribunal fédéral a considéré qu'une demande déposée deux ou trois semaines après la découverte du motif de récusation était tardive (arrêts 1B_274/2013 du 19 novembre 2013 consid. 4.1; 1B_499/2012 du 7 novembre 2012 consid. 2.3). La Cour de céans a laissé ouverte la question de savoir si " aussitôt " pouvait signifier plus de dix jours (arrêt 4A_600/2015 du 1er avril 2016 consid. 6.3). Elle a en revanche jugé qu'une requête formée 40 jours après la connaissance du motif de récusation était manifestement incompatible avec l' art. 49 al. 1 CPC (arrêt 4A_104/2015 du 20 mai 2015 consid. 6).</w:t>
      </w:r>
    </w:p>
    <w:p>
      <w:r>
        <w:rPr>
          <w:b/>
        </w:rPr>
        <w:t>E. 4.2</w:t>
      </w:r>
    </w:p>
    <w:p>
      <w:r>
        <w:t>Dans la décision attaquée, l'autorité précédente a nié toute prévention de l'intimé découlant d'une prétendue violation du principe de célérité. En substance, elle a considéré que seule une période de latence d'environ huit mois s'était écoulée. L'appréciation d'ensemble du dossier ne permettait nullement de retenir que l'intimé aurait laissé " dormir " l'affaire, celui-ci ayant plutôt fait montre de célérité en exerçant une activité continue.</w:t>
      </w:r>
    </w:p>
    <w:p>
      <w:r>
        <w:t>Par ailleurs, l'autorité cantonale a écarté la thèse selon laquelle l'intimé aurait choisi de favoriser les Editions Y.________ SA par peur de la vindicte de cet organe de presse. Elle a relevé que cette affirmation ne reposait sur aucun élément et qu'elle semblait plutôt relever de l'extrapolation.</w:t>
      </w:r>
    </w:p>
    <w:p>
      <w:r>
        <w:t>Par surabondance, l'autorité précédente a émis des doutes quant à la recevabilité de la requête de récusation au vu de sa tardiveté. Elle a toutefois laissé la question indécise.</w:t>
      </w:r>
    </w:p>
    <w:p>
      <w:r>
        <w:rPr>
          <w:b/>
        </w:rPr>
        <w:t>E. 4.3</w:t>
      </w:r>
    </w:p>
    <w:p>
      <w:r>
        <w:t>La recourante reproche à l'autorité précédente d'avoir nié toute prévention de l'intimé. A l'en croire, ce dernier aurait violé le principe de célérité témoignant ainsi, par son inaction, de sa volonté de favoriser la société éditant</w:t>
      </w:r>
    </w:p>
    <w:p>
      <w:r>
        <w:t>Y.________ .</w:t>
      </w:r>
    </w:p>
    <w:p>
      <w:r>
        <w:rPr>
          <w:b/>
        </w:rPr>
        <w:t>E. 4.4</w:t>
      </w:r>
    </w:p>
    <w:p>
      <w:r>
        <w:t>Considéré à la lumière des principes rappelés</w:t>
      </w:r>
    </w:p>
    <w:p>
      <w:r>
        <w:t>supra (cf. consid. 4.1.1 - 4.1.3), le grief soulevé ne résiste pas à l'examen.</w:t>
      </w:r>
    </w:p>
    <w:p>
      <w:r>
        <w:t>Il sied d'emblée de souligner que la requête de récusation déposée le 1er février 2019 apparaît abusive. En effet, si la recourante s'est certes enquise de l'avancement de la procédure par courrier du 25 avril 2017, elle ne s'est en revanche plus jamais souciée de la prétendue lenteur de la procédure avant son courrier du 5 décembre 2018. Après avoir invité l'intimé à se déterminer sur les reproches qu'elle formulait à son encontre - ce que ce dernier a fait les 6 et 28 décembre 2018 -, la recourante qui, par le truchement de son conseil, a expressément cité la date du 15 mars 2019 en vue de fixer l'audience d'instruction, a attendu plus d'un mois avant de solliciter formellement la récusation de l'intimé. Dans la mesure où l'intervention du 5 décembre 2018 de la recourante auprès de l'intimé a porté ses fruits, ce dernier ayant immédiatement réagi et pris des mesures concrètes en proposant des dates aux parties en vue de fixer l'audience d'instruction, la requête de récusation formée le 1er février 2019 en raison d'un prétendu ralentissement délibéré de la procédure se révèle dénuée de tout fondement.</w:t>
      </w:r>
    </w:p>
    <w:p>
      <w:r>
        <w:t>Ensuite, l'on ne saurait suivre la recourante lorsqu'elle soutient que l'intimé aurait laissé délibérément " dormir " l'affaire. S'il est vrai qu'une période de plus d'un an s'est écoulée entre l'ordonnance de preuves rendue le 28 septembre 2016 et la séance d'audition de témoins du 16 novembre 2017, cela ne signifie pas encore que l'intimé soit resté inactif durant ce laps de temps. Il a en effet procédé à plusieurs mesures d'instruction. Il a ainsi invité les parties à produire des questionnaires en vue de l'audition des témoins et a requis production du rapport établi par les experts W.________ et X.________. Afin d'éviter que les mêmes témoins ne soient entendus à deux reprises dans des causes parallèles, l'intimé a précisé aux parties que leur audition interviendrait dans le courant de l'automne 2017, ce qui n'a suscité aucune objection de leur part. S'il est exact que la procédure a connu un " temps mort " à compter du 1er mars 2018, date à laquelle l'intimé a admis les nouvelles pièces produites par la recourante, l'on ne saurait déduire de ce seul fait une volonté de l'intimé de laisser " dormir " la procédure, trahissant une quelconque forme de prévention. Au regard de l'ensemble des circonstances, la durée de la procédure, si elle est certes longue, apparaît encore raisonnable. C'est le lieu en outre de rappeler que la recourante ne s'est jamais plainte de la lenteur de la procédure entre le 25 avril 2017 et le 5 décembre 2018. Si réellement elle estimait que le Tribunal tardait de façon injustifiée à statuer, il lui était loisible d'interpeller le tribunal, voire de recourir pour déni de justice au sens de l' art. 319 let . c CPC, ce qu'elle s'est pourtant bien gardée de faire.</w:t>
      </w:r>
    </w:p>
    <w:p>
      <w:r>
        <w:t>Enfin, on relèvera que l'affirmation péremptoire de la recourante selon laquelle l'intimé, par son comportement, aurait eu pour but de favoriser la société éditant</w:t>
      </w:r>
    </w:p>
    <w:p>
      <w:r>
        <w:t>Y.________ n'est étayée par aucune preuve.</w:t>
      </w:r>
    </w:p>
    <w:p>
      <w:r>
        <w:t>Sur le vu de ce qui précède, le moyen pris d'une violation des art. 29 et 30 Cst. ainsi que de l' art. 47 al. 1 let . f CPC se révèle infondé.</w:t>
      </w:r>
    </w:p>
    <w:p>
      <w:r>
        <w:rPr>
          <w:b/>
        </w:rPr>
        <w:t>E. 5</w:t>
      </w:r>
    </w:p>
    <w:p>
      <w:r>
        <w:t>En définitive, le recours doit être rejeté.</w:t>
      </w:r>
    </w:p>
    <w:p>
      <w:r>
        <w:t>La recourante, qui succombe, devra payer les frais de la procédure fédérale ( art. 66 al. 1 LTF ). Il n'y a pas lieu d'allouer de dépens ( art. 68 al. 3 LTF ), des déterminations de la part de l'intimé n'ayant au demeurant pas été demandées.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