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4A_172/2015 vom 29. September 2015</w:t>
      </w:r>
    </w:p>
    <w:p>
      <w:r>
        <w:t>Bundesgericht, 2015-09-29, DE</w:t>
      </w:r>
    </w:p>
    <w:p>
      <w:r>
        <w:rPr>
          <w:b/>
        </w:rPr>
        <w:t xml:space="preserve">Quelle: </w:t>
      </w:r>
      <w:r>
        <w:t>https://mcp.opencaselaw.ch/entscheid/bger_4A_172_2015</w:t>
      </w:r>
    </w:p>
    <w:p>
      <w:r>
        <w:t>FR: TF 4A_172/2015 du 29 septembre 2015</w:t>
      </w:r>
    </w:p>
    <w:p>
      <w:r>
        <w:t>IT: TF 4A_172/2015 del 29 settembre 2015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190 - 192 IPRG (SR 291) zulässig ( Art. 77 Abs. 1 lit. a BGG ).</w:t>
      </w:r>
    </w:p>
    <w:p>
      <w:r>
        <w:rPr>
          <w:b/>
        </w:rPr>
        <w:t>E. 2.1</w:t>
      </w:r>
    </w:p>
    <w:p>
      <w:r>
        <w:t>Der Sitz des Schiedsgerichts befindet sich vorliegend in Zürich. Der Beschwerdegegner hatte im massgebenden Zeitpunkt seinen Wohnsitz ausserhalb der Schweiz ( Art. 176 Abs. 1 IPRG ). Da die Parteien die Geltung des 12. Kapitels des IPRG nicht ausdrücklich ausgeschlossen haben, gelangen die Bestimmungen dieses Kapitels zur Anwendung ( Art. 176 Abs. 2 IPRG ).</w:t>
      </w:r>
    </w:p>
    <w:p>
      <w:r>
        <w:rPr>
          <w:b/>
        </w:rPr>
        <w:t>E. 2.2</w:t>
      </w:r>
    </w:p>
    <w:p>
      <w:r>
        <w:t>Auf eine Beschwerde kann nur eingetreten werden, wenn der Beschwerdeführer durch den angefochtenen Entscheid besonders berührt ist und ein schutzwürdiges Interesse an dessen Aufhebung und Änderung hat ( Art. 76 Abs. 1 lit. b BGG ; vgl. BGE 133 III 421 E. 1.1 S. 425 f.).</w:t>
      </w:r>
    </w:p>
    <w:p>
      <w:r>
        <w:t>Der Beschwerdeführer 1, den der Einzelschiedsrichter in Gutheissung der Klage zur Zahlung der verlangten Geldsumme verurteilt hat, ist zur Beschwerde gegen den ergangenen Schiedsentscheid berechtigt. Demgegenüber wurde die Klage gegen die Beschwerdeführerin 2 abgewiesen, weshalb sie durch den angefochtenen Entscheid nur insoweit beschwert ist, als sie die ihr zugesprochene Parteientschädigung als zu tief erachtet (vgl. Dispositiv-Ziffer 4; dazu nachfolgend E. 5.4 a.E.).</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3</w:t>
      </w:r>
    </w:p>
    <w:p>
      <w:r>
        <w:t>Der Beschwerdeführer 1 wirft dem Einzelschiedsrichter vor, er habe sich zu Unrecht für zuständig erklärt ( Art. 190 Abs. 2 lit. b IPRG ).</w:t>
      </w:r>
    </w:p>
    <w:p>
      <w:r>
        <w:rPr>
          <w:b/>
        </w:rPr>
        <w:t>E. 3.1</w:t>
      </w:r>
    </w:p>
    <w:p>
      <w:r>
        <w:t>Nach Art. 186 Abs. 2 IPRG ist die Einrede der Unzuständigkeit vor der Einlassung auf die Hauptsache zu erheben. Dabei handelt es sich um einen Anwendungsfall des Grundsatzes von Treu und Glauben (vgl. Art. 2 Abs. 1 ZGB ), der auch im Bereich der Schiedsgerichtsbarkeit zu beachten ist. Unterbleibt eine entsprechende Einrede, wird die Zuständigkeit ungeachtet der Gültigkeit der Schiedsvereinbarung kraft Einlassung begründet. Entsprechend anerkennt die Partei, die sich zur Sache geäussert hat, ohne einen entsprechenden Einwand zu erheben, die Zuständigkeit des Schiedsgerichts und kann sich in der Folge nicht mehr auf dessen Unzuständigkeit berufen ( BGE 128 III 50 E. 2c/aa mit Hinweisen).</w:t>
      </w:r>
    </w:p>
    <w:p>
      <w:r>
        <w:rPr>
          <w:b/>
        </w:rPr>
        <w:t>E. 3.2</w:t>
      </w:r>
    </w:p>
    <w:p>
      <w:r>
        <w:t>Der Beschwerdeführer 1 anerkennt in der Beschwerdeschrift selber, die Zuständigkeit des Einzelschiedsrichters im Schiedsverfahren nicht bestritten zu haben. Sein Einwand, es sei nicht absehbar gewesen und habe ausserhalb des Vorhersehbaren gelegen, dass der Einzelschiedsrichter seinen Entscheid auf eine vom "Cooperation Agreement" unabhängige Erklärung des Beschwerdeführers 1 abstellen würde, ist unbehelflich. Die Frage, ob die beiden Schreiben vom 28. März 2007 bzw. vom 18. Mai 2007, auf die sich der Beschwerdegegner stützte, eine Schuldanerkennung beinhalteten, lag auf der Hand. Entsprechend bestritt der Beschwerdeführer 1 im Schiedsverfahren das Vorliegen einer Schuldanerkennung seinerseits und berief sich dabei unter anderem darauf, dass es sich beim Schreiben vom 28. März 2007 nicht um eine eigenständige Vereinbarung handle, sondern dieses Teil des Cooperation Agreement sei. Es wäre dem Beschwerdeführer 1 demnach unbenommen gewesen, für den Fall, dass seine Erklärung vom 28. März 2007 als eigenständiges Leistungsversprechen (ausserhalb des Cooperation Agreement) aufgefasst werden sollte, geltend zu machen, dass darauf gestützte Ansprüche vom sachlichen Anwendungsbereich der im Cooperation Agreement enthaltenen Schiedsklausel nicht erfasst seien (vgl. BGE 128 III 50 E. 2c/aa S. 58). Ausserdem verkennt er mit seinen Ausführungen, dass der Einzelschiedsrichter das Verhältnis zwischen der Erklärung vom 28. März 2007 und dem Cooperation Agreement für die Frage der Schuldanerkennung letztlich nicht für rechtserheblich erachtet hat.</w:t>
      </w:r>
    </w:p>
    <w:p>
      <w:r>
        <w:t>Nachdem der Beschwerdeführer 1 die schiedsrichterliche Zuständigkeit im Schiedsverfahren in keiner Weise in Frage gestellt hatte, sondern sich vorbehaltlos auf die Hauptsache einliess, ist es ihm verwehrt, sich nunmehr im Beschwerdeverfahren vor Bundesgericht auf die Unzuständigkeit des Einzelschiedsrichters zu berufen.</w:t>
      </w:r>
    </w:p>
    <w:p>
      <w:r>
        <w:rPr>
          <w:b/>
        </w:rPr>
        <w:t>E. 4</w:t>
      </w:r>
    </w:p>
    <w:p>
      <w:r>
        <w:t>Der Beschwerdeführer 1 wirft dem Einzelschiedsrichter vor, er habe im Schiedsverfahren zwei Vorbringen unberücksichtigt gelassen und damit den Anspruch auf rechtliches Gehör ( Art. 190 Abs. 2 lit. d IPRG ) verletzt.</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t>Der Grundsatz der Gleichbehandlung gebietet zudem, dass die Parteien während des gesamten Schiedsverfahrens gleich behandelt werden (vgl. BGE 133 III 139 E. 6.1 S. 143).</w:t>
      </w:r>
    </w:p>
    <w:p>
      <w:r>
        <w:rPr>
          <w:b/>
        </w:rPr>
        <w:t>E. 4.2</w:t>
      </w:r>
    </w:p>
    <w:p>
      <w:r>
        <w:t>Der Beschwerdeführer 1 wirft dem Einzelschiedsrichter zu Unrecht vor, er habe das folgende Vorbringen in der Klageantwort nicht berücksichtigt: "... der Trader instruierte bzw. beauftragte die [Beschwerdeführerin 2] und diese wies den [Beschwerdeführer 1] an, das Kapital auf ein Konto (einer Gesellschaft des Traders) bei der Bank G.________ Ltd. zu überweisen". Im angefochtenen Entscheid wird erwähnt, dass die fragliche Banküberweisung auf Anweisung des Traders erfolgte und sich der Beschwerdeführer 1, der die Überweisung ausführte, im Schiedsverfahren auf eine Genehmigung der Transaktion durch die Organe der Beschwerdeführerin 2 berief; der Einzelschiedsrichter erachtete die behauptete Genehmigung jedoch als unerheblich. Die angebliche Anweisung zum Geldtransfer bzw. dessen Genehmigung durch die Beschwerdeführerin 2 wurde demnach durchaus berücksichtigt. Auch das im Beschwerdeverfahren ins Feld geführte Vorbringen, Frau H.________ (deren Rolle und Funktion gemäss angefochtenem Entscheid unklar blieb) habe der Transaktion "grünes Licht" gegeben, wird im Schiedsentscheid ausdrücklich aufgeführt, jedoch als unerheblich erachtet.</w:t>
      </w:r>
    </w:p>
    <w:p>
      <w:r>
        <w:t>Indem sich der Beschwerdeführer 1 vor Bundesgericht auf den Standpunkt stellt, der Einzelschiedsrichter hätte aus der fraglichen Anweisung bzw. Genehmigung der Beschwerdeführerin 2 schliessen müssen, dass die im Schreiben vom 28. März 2007 erwähnte Voraussetzung der Rückerstattung ("I undertake to reimburse the funds of EURO 2 Mio [...]</w:t>
      </w:r>
    </w:p>
    <w:p>
      <w:r>
        <w:t>if the investment contract does not materialize as anticipated " [Hervorhebung hinzugefügt]) nicht erfüllt sei, da sich mit dem Abruf des Geldbetrags durch die Beschwerdeführerin 2 als Geschäftsführerin der einfachen Gesellschaft "das Investment zweifelsfrei 'materialisiert', d.h. auf der Basis des mündlich abgeschlossenen Investment Vertrages verwirklicht [habe]", übt er lediglich unzulässige inhaltliche Kritik am angefochtenen Schiedsentscheid.</w:t>
      </w:r>
    </w:p>
    <w:p>
      <w:r>
        <w:t>Der Vorwurf der Gehörsverletzung ist nicht gerechtfertigt.</w:t>
      </w:r>
    </w:p>
    <w:p>
      <w:r>
        <w:rPr>
          <w:b/>
        </w:rPr>
        <w:t>E. 5</w:t>
      </w:r>
    </w:p>
    <w:p>
      <w:r>
        <w:t>Die Beschwerdeführer werfen dem Einzelschiedsrichter in verschiedener Hinsicht eine Verletzung des Ordre public ( Art. 190 Abs. 2 lit. e IPRG ) vor.</w:t>
      </w:r>
    </w:p>
    <w:p>
      <w:r>
        <w:rPr>
          <w:b/>
        </w:rPr>
        <w:t>E. 5.1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5.2</w:t>
      </w:r>
    </w:p>
    <w:p>
      <w:r>
        <w:t>Der Beschwerdeführer 1 zeigt keine Missachtung des Grundsatzes der Vertragstreue auf, indem er in Abweichung von den Erwägungen im angefochtenen Entscheid vorbringt, durch das Einbringen der EUR 2 Mio. in die einfache Gesellschaft habe der Beschwerdegegner "keine persönlichen Ansprüche aus diesen Mitteln mehr begründen [können], sondern nur noch für die einfache Gesellschaft", weshalb "die Rechte und Pflichten aus dem Schreiben vom 28. März 2007 Teil des Cooperation Agreements" geworden seien. Vielmehr zieht er aus dem Cooperation Agreement, dem Vorliegen der einfachen Gesellschaft und dem Schreiben vom 28. März 2007 (sowie deren Verhältnis zueinander) bloss andere Schlüsse als der Einzelschiedsrichter. Indem er sich auf den Standpunkt stellt, das Bestehen der einfachen Gesellschaft führe dazu, dass der Beschwerdegegner einen vertraglichen Anspruch ihm gegenüber nicht bzw. nicht mehr geltend machen könne, zeigt er keine Missachtung des Grundsatzes</w:t>
      </w:r>
    </w:p>
    <w:p>
      <w:r>
        <w:t>pacta sunt servanda auf, sondern übt lediglich unzulässige Kritik am angefochtenen Entscheid (vgl. zur Tragweite des Grundsatzes der Vertragstreue im Rahmen des Beschwerdegrunds von Art. 190 Abs. 2 lit. e IPRG die Urteile 4A_597/2013 vom 19. Juni 2014 E. 4.3; 4A_76/2012 vom 11. Oktober 2012 E. 4.2; 4A_14/2012 vom 2. Mai 2012 E. 5.2.1, nicht publ. in: BGE 138 III 270 ).</w:t>
      </w:r>
    </w:p>
    <w:p>
      <w:r>
        <w:rPr>
          <w:b/>
        </w:rPr>
        <w:t>E. 5.3</w:t>
      </w:r>
    </w:p>
    <w:p>
      <w:r>
        <w:t>Der Beschwerdeführer 1 vermag sodann nicht aufzuzeigen, inwiefern bei der rechtlichen Beurteilung des Klageanspruchs verkannt worden wäre, dass der Grundsatz von Treu und Glauben zu beachten ist. Indem er vorbringt, der Beschwerdegegner habe in der das Verfahren einleitenden Eingabe einzig eine Vertragsverletzung geltend gemacht, womit er sein Recht verwirkt habe, sich in einem späteren Zeitpunkt auf eine Schuldanerkennung zu stützen, zeigt er keine Verletzung des materiellen Ordre public durch den Einzelschiedsrichter auf, sondern wirft diesem vielmehr vor, er hätte im Rahmen des Schiedsverfahrens bestimmte Vorbringen des Beschwerdegegners nicht mehr berücksichtigen dürfen. Damit beruft sich der Beschwerdeführer 1 vor Bundesgericht erstmals auf einen Verfahrensmangel, der zunächst im Schiedsverfahren hätte vorgebracht werden müssen (vgl. BGE 130 III 66 E. 4.3 S. 75; 126 III 249 E. 3c S. 253 f.; 119 II 386 E. 1a S. 388; je mit Hinweisen).</w:t>
      </w:r>
    </w:p>
    <w:p>
      <w:r>
        <w:rPr>
          <w:b/>
        </w:rPr>
        <w:t>E. 5.4</w:t>
      </w:r>
    </w:p>
    <w:p>
      <w:r>
        <w:t>Der Beschwerdeführer 1 zeigt keinen Verstoss gegen den Ordre public auf, wenn er sich vor Bundesgericht auf den Standpunkt stellt, die Kosten hätten ihm und dem Beschwerdegegner je hälftig auferlegt werden müssen, und er dem Einzelrichter vorwirft, die erfolgte Verteilung der Prozesskosten widerspreche "klarerweise den Art. 106/107 ZPO". Ebenso wenig ist in der getroffenen Kostenaufteilung eine Verletzung des Gleichbehandlungsgebots ( Art. 190 Abs. 2 lit. d IPRG ) zu erblicken; insbesondere verkennt der Beschwerdeführer 1, dass der Beschwerdegegner seinen Anspruch gegen zwei Beklagte erhob, deren solidarische Verpflichtung er beantragte. Der Umstand, dass die Klage gegen eine andere beklagte Partei abgewiesen wurde, führt nicht dazu, dass dem Beschwerdeführer 1, der vollständig unterlag, unter dem Blickwinkel des Gleichbehandlungsgebots zwingend lediglich die Hälfte der Kosten aufzuerlegen wäre. Entgegen der in der Beschwerde vertretenen Ansicht ist das (vollständige) Unterliegen des Beschwerdeführers 1 im Hinblick auf die Verteilung der Schiedsgerichtskosten nicht mit dem Unterliegen des Beschwerdegegners gegenüber einem der beiden Streitgenossen gleichzusetzen.</w:t>
      </w:r>
    </w:p>
    <w:p>
      <w:r>
        <w:t>Auch die Beschwerdeführerin 2 zeigt mit ihren Ausführungen nicht auf, inwiefern der Einzelschiedsrichter bei der Kostenverteilung fundamentale Rechtsgrundsätze verkannt und die ihr zugesprochene Höhe der Parteientschädigung daher mit der wesentlichen, weitgehend anerkannten Wertordnung schlechthin unvereinbar wäre, die nach in der Schweiz herrschender Auffassung Grundlage jeder Rechtsordnung bilden sollte. Sie behauptet zudem, sie werde im Vergleich zum Beschwerdegegner ungleich behandelt, zeigt aber nicht hinreichend auf, inwiefern im Umstand, dass der Einzelschiedsrichter - gestützt auf eine Schätzung des auf die jeweilige Klage entfallenden Aufwands - dem Beschwerdegegner (eine vom Beschwerdeführer 1) zu bezahlende Parteientschädigung von Fr. 172'232.14 und ihr (gegenüber dem Beschwerdegegner) einen tieferen Betrag von Fr. 40'537.26 zusprach, eine Ungleichbehandlung im Sinne von Art. 190 Abs. 2 lit. e IPRG liegen soll. Inwiefern die schätzungsweise Aufteilung des - von den Beschwerdeführern nicht einzeln ausgewiesenen - Aufwands auf die beiden Streitgenossen gegen einen in Art. 190 Abs. 2 IPRG vorgesehenen Beschwerdegrund verstossen soll, zeigt die Beschwerdeführerin 2 nicht auf.</w:t>
      </w:r>
    </w:p>
    <w:p>
      <w:r>
        <w:rPr>
          <w:b/>
        </w:rPr>
        <w:t>E. 6</w:t>
      </w:r>
    </w:p>
    <w:p>
      <w:r>
        <w:t>Die Beschwerde erweist sich als unbegründet und ist abzuweisen, soweit darauf eingetreten werden kann. Dem Ausgang des Verfahrens entsprechend werden die Beschwerdeführer unter solidarischer Haftbarkeit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