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4A_171/2025 vom 21. August 2025</w:t>
      </w:r>
    </w:p>
    <w:p>
      <w:r>
        <w:t>Bundesgericht, 2025-08-21, FR</w:t>
      </w:r>
    </w:p>
    <w:p>
      <w:r>
        <w:rPr>
          <w:b/>
        </w:rPr>
        <w:t xml:space="preserve">Quelle: </w:t>
      </w:r>
      <w:r>
        <w:t>https://mcp.opencaselaw.ch/entscheid/bger_4A_171_2025</w:t>
      </w:r>
    </w:p>
    <w:p>
      <w:r>
        <w:t>FR: TF 4A_171/2025 du 21 août 2025</w:t>
      </w:r>
    </w:p>
    <w:p>
      <w:r>
        <w:t>IT: TF 4A_171/2025 del 21 agosto 2025</w:t>
      </w:r>
    </w:p>
    <w:p>
      <w:pPr>
        <w:pStyle w:val="Heading2"/>
      </w:pPr>
      <w:r>
        <w:t>Erwägungen</w:t>
      </w:r>
    </w:p>
    <w:p>
      <w:r>
        <w:rPr>
          <w:b/>
        </w:rPr>
        <w:t>E. 1</w:t>
      </w:r>
    </w:p>
    <w:p>
      <w:r>
        <w:t>Interjeté en temps utile ( art. 100 al. 1 LTF ),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et prise sur recours par le tribunal supérieur du canton de Fribourg ( art. 75 LTF ), dont la valeur litigieuse s'élève à 30'000 fr. ( art. 74 al. 1 let. b LTF ; ATF 133 III 399 consid. 1.3), le recours en matière civile est recevable au regard de ces dispositions.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La recourante se plaint d'arbitraire dans l'établissement des faits. Elle prétend que l'arrêt attaqué ne mentionnerait pas les termes "fin du chantier" ressortant de la reconnaissance de dette. Contrairement à cette affirmation, l'arrêt attaqué mentionne spécifiquement les termes "fin du chantier" en p. 2 et 4. Pour le reste, la recourante se livre à une libre présentation des faits dans une démarche appellatoire, partant irrecevable, voire cherche à introduire des éléments nouveaux, comme des échanges WhatsApp, sans respecter les réquisits précités (supra consid. 2.2) en matière de complètement de l'état de fait. Ces critiques sont irrecevables.</w:t>
      </w:r>
    </w:p>
    <w:p>
      <w:r>
        <w:rPr>
          <w:b/>
        </w:rPr>
        <w:t>E. 4</w:t>
      </w:r>
    </w:p>
    <w:p>
      <w:r>
        <w:t>Le litige porte sur le refus d'octroi de la mainlevée provisoire. 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148 III 145 consid. 4.1.1; 145 III 20 consid. 4.1.1). 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la mainlevée provisoire doit être refusée (arrêts 4A_443/2024 du 25 février 2025 consid. 5.2.1; 5A_534/2023 du 13 décembre 2023 consid. 5.2.2).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arrêt 4A_443/2024 précité consid. 5.2.1). En effet, 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arrêt précité 5A_534/2023 consid. 5.2.1). La décision du juge de la mainlevée provisoire ne prive pas les parties du droit de soumettre à nouveau la question litigieuse au juge ordinaire ( art. 79 et 83 al. 2 LP ; ATF 136 III 528 consid. 3.2; arrêt précité 5A_534/2023 consid. 5.2.1).</w:t>
      </w:r>
    </w:p>
    <w:p>
      <w:r>
        <w:rPr>
          <w:b/>
        </w:rPr>
        <w:t>E. 5.1</w:t>
      </w:r>
    </w:p>
    <w:p>
      <w:r>
        <w:t>Le 26 janvier 2024, les parties ont conclu un avenant selon lequel l'intimée s'engage à payer à la recourante 30'000 fr. "réglé à la fin du chantier". La cour cantonale a observé que la réception des travaux est une phase clé qui marque l'achèvement d'un chantier. C'est un acte juridique par lequel le maître d'ouvrage accepte ou pas les travaux et valide ou pas leur conformité au devis. En principe, le formulaire de réception de l'ouvrage est signé par le maître d'ouvrage, la direction des travaux et l'entrepreneur, il mentionne le contrat d'entreprise et les travaux concernés et contient le procès-verbal de la vérification. Or, le document produit par la requérante intitulé "Réception finale" et sur lequel elle se base pour prétendre que les travaux ont été achevés semble avoir été signé par les occupants des appartements listés dans le document sans que l'on sache de qui il émane. II n'est signé ni par le maître d'ouvrage ni par l'architecte ni par l'entrepreneur et n'atteste aucunement de la fin du chantier, condition mentionnée dans l'avenant pour le paiement du montant de 30'000 fr. Pour ces motifs, la cour a refusé la mainlevée.</w:t>
      </w:r>
    </w:p>
    <w:p>
      <w:r>
        <w:rPr>
          <w:b/>
        </w:rPr>
        <w:t>E. 5.2</w:t>
      </w:r>
    </w:p>
    <w:p>
      <w:r>
        <w:t>Les parties n'ont elles-mêmes pas défini la notion de "fin de chantier" dans leur avenant du 26 janvier 2024. Contrairement à ce que suppose la recourante, on ne saurait dès lors reprocher à la cour cantonale de s'être référée au critère de réception des travaux. Quoi qu'il en soit, il incombait à la recourante d'établir par pièces la fin des travaux. Le document intitulé "Réception finale" est signé par des locataires, soit des tiers. La recourante n'a toutefois pas établi par pièces le nombre d'appartements ni qui en étaient locataires. On ne saurait donc inférer de ce document une fin des travaux pour la totalité des appartements. La contestation de l'intimée à ce propos n'est pas critiquable. Les autres éléments mis en avant par la recourante ne ressortent pas de l'arrêt attaqué et celle-ci n'est pas parvenue à valablement compléter l'état de fait (supra consid. 3). Surtout, la recourante ne se prévaut d'aucun document par lequel l'intimée aurait admis sans réserve la fin du chantier. Dans le cadre de l'examen sommaire du bien-fondé juridique des moyens libératoires du poursuivi - lequel doit rendre sa libération vraisemblable - auquel est tenu le juge de la mainlevée (cf. ATF 145 III 213 consid. 6.1.3; arrêt 5A_89/2019 du 1er mai 2019 consid. 5.2.2), les considérations de la cour cantonale n'apparaissent pas contraires au droit fédéral. La recourante ne dispose par conséquent pas d'un titre de mainlevée.</w:t>
      </w:r>
    </w:p>
    <w:p>
      <w:r>
        <w:rPr>
          <w:b/>
        </w:rPr>
        <w:t>E. 6</w:t>
      </w:r>
    </w:p>
    <w:p>
      <w:r>
        <w:t>Le recours doit être rejeté dans la mesure de sa recevabilité. La recourante,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