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4A_170/2018 vom 20. Juni 2018</w:t>
      </w:r>
    </w:p>
    <w:p>
      <w:r>
        <w:t>Bundesgericht, 2018-06-20, DE</w:t>
      </w:r>
    </w:p>
    <w:p>
      <w:r>
        <w:rPr>
          <w:b/>
        </w:rPr>
        <w:t xml:space="preserve">Quelle: </w:t>
      </w:r>
      <w:r>
        <w:t>https://mcp.opencaselaw.ch/entscheid/bger_4A_170_2018</w:t>
      </w:r>
    </w:p>
    <w:p>
      <w:r>
        <w:t>FR: TF 4A_170/2018 du 20 juin 2018</w:t>
      </w:r>
    </w:p>
    <w:p>
      <w:r>
        <w:t>IT: TF 4A_170/2018 del 20 giugno 2018</w:t>
      </w:r>
    </w:p>
    <w:p>
      <w:pPr>
        <w:pStyle w:val="Heading2"/>
      </w:pPr>
      <w:r>
        <w:t>Erwägungen</w:t>
      </w:r>
    </w:p>
    <w:p>
      <w:r>
        <w:rPr>
          <w:b/>
        </w:rPr>
        <w:t>E. 1.1</w:t>
      </w:r>
    </w:p>
    <w:p>
      <w:r>
        <w:t>Der Streitwert erreicht die Grenze von Fr. 30'000.-- gemäss Art. 74 Abs. 1 lit. b BGG nicht. Unter diesen Umständen ist die Beschwerde in Zivilsachen dennoch zulässig, wenn sich eine Rechtsfrage von grundsätzlicher Bedeutung stellt ( Art. 74 Abs. 2 lit. a BGG ). Dies ist der Fall, wenn ein allgemeines und dringendes Interesse besteht, dass eine umstrittene Frage höchstrichterlich geklärt wird, um eine einheitliche Anwendung und Auslegung des Bundesrechts herbeizuführen und damit eine erhebliche Rechtsunsicherheit auszuräumen ( BGE 141 III 159 E. 1.2; 139 III 209 E. 1.2 S. 210; je mit weiteren Hinweisen).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mit weiteren Hinweisen). Wenn geltend gemacht wird, dass von den unteren Instanzen viele gleichartige Fälle zu beurteilen sein werden, muss die zu beurteilende Streitsache überdies geeignet sein, die Frage auch mit Bezug auf die anderen Fälle zu klären ( BGE 139 II 340 E. 4 S. 343).</w:t>
      </w:r>
    </w:p>
    <w:p>
      <w:r>
        <w:rPr>
          <w:b/>
        </w:rPr>
        <w:t>E. 1.2</w:t>
      </w:r>
    </w:p>
    <w:p>
      <w:r>
        <w:t>Der Beschwerdeführer macht geltend, es stelle sich folgende Rechtsfrage von grundsätzlicher Bedeutung: "Ist es zulässig, einen unentgeltlichen Rechtsbeistand, dem ein direktes Forderungsrecht zuerkannt worden ist, als Partei im Zivilverfahren anzusehen mit der Folge, dass er in einem Beschwerdeverfahren gegen den zivilrechtlichen Kostenentscheid zum Beschwerdegegner wird?" Der Beschwerdeführer bringt dazu vor, er sei als unentgeltlicher Vertreter nicht in das zivilrechtliche Verhältnis der Parteien involviert. Er stehe hingegen in einem öffentlich-rechtlichen Verhältnis, in das die unentgeltlich vertretene Partei wiederum nicht involviert sei. Fraglich sei nun, ob diese grundsätzliche Unterscheidung der verschiedenen Rechtsverhältnisse durchbrochen werden könne, indem ein Gericht einem unentgeltlichen Rechtsbeistand zu Lasten einer der Parteien im Zivilverfahren direkt eine (Partei-) Entschädigung zuspreche.</w:t>
      </w:r>
    </w:p>
    <w:p>
      <w:r>
        <w:rPr>
          <w:b/>
        </w:rPr>
        <w:t>E. 1.3</w:t>
      </w:r>
    </w:p>
    <w:p>
      <w:r>
        <w:t>Nach der Rechtsprechung des Bundesgerichts kann eine Parteientschädigung direkt dem unentgeltlichen Rechtsbeistand der obsiegenden Partei zugesprochen werden (Urteile 4A_171/2017 vom 26. September 2017 E. 1.1; 5A_389/2014 vom 9. September 2014 E. 4; 5A_754/2013 vom 4. Februar 2014 E. 5). Das Bundesgericht hat zudem bereits entschieden, dass der unentgeltliche Rechtsbeistand für die Parteikostenersatzforderung ein eigenes und persönliches Forderungsrecht hat (Urteile 4A_171/2017 vom 26. September 2017 E. 1.1; 5A_754/2013 vom 4. Februar 2014 E. 5). Er ist in diesem Punkt zur Beschwerde legitimiert (Urteile 5A_34/2018 vom 21. März 2018 E. 2; 4A_171/2017 vom 26. September 2017 E. 1.1). Aus dieser Rechtsprechung ergibt sich, dass der unentgeltliche Rechtsbeistand Partei im Beschwerdeverfahren und damit auch Beschwerdegegner sein kann, wenn eine ihm direkt zugesprochene Parteientschädigung gekürzt werden soll. Es liegt somit keine Rechtsfrage von grundsätzlicher Bedeutung vor, die der Klärung bedürfte. Auf die Beschwerde in Zivilsachen ist nicht einzutreten.</w:t>
      </w:r>
    </w:p>
    <w:p>
      <w:r>
        <w:rPr>
          <w:b/>
        </w:rPr>
        <w:t>E. 1.4</w:t>
      </w:r>
    </w:p>
    <w:p>
      <w:r>
        <w:t>Offen steht die subsidiäre Verfassungsbeschwerde ( Art. 113 ff. BGG ), die der Beschwerdeführer eventualiter erhebt. Da die diesbezüglichen Sachurteilsvoraussetzungen erfüllt sind, ist auf die subsidiäre Verfassungsbeschwerde - unter Vorbehalt einer gehörigen Begründung ( Art. 42 Abs. 2, Art. 106 Abs. 2 BGG ) - einzutreten.</w:t>
      </w:r>
    </w:p>
    <w:p>
      <w:r>
        <w:rPr>
          <w:b/>
        </w:rPr>
        <w:t>E. 2</w:t>
      </w:r>
    </w:p>
    <w:p>
      <w:r>
        <w:t>Der Beschwerdeführer rügt, die Vorinstanz habe ihm willkürlich Kosten auferlegt. Er sei als unentgeltlicher Rechtsvertreter nicht persönlich in das Zivilverfahren involviert gewesen. Der erstinstanzliche Kostenentscheid sei als regelrechte Justizpanne zu bezeichnen. Daher wäre das Bezirksgericht Zürich als Gegenpartei anzusehen gewesen. Er sei mit seiner damaligen Mandantin der Ansicht gewesen, die Verfügung des Bezirksgerichts Zürich vom 5. Oktober 2017 sei falsch und es dürfe sie keine Nachzahlungspflicht treffen; er habe ihr sogar selbst zur Anfechtung der Verfügung geraten. Entsprechend habe er auch nicht die Abweisung der Beschwerde beantragt. Die Klägerin habe keine Kürzung seiner Gesamtentschädigung bewirken wollen. Die Auferlegung der Kosten verletze die Eigentumsgarantie.</w:t>
      </w:r>
    </w:p>
    <w:p>
      <w:r>
        <w:rPr>
          <w:b/>
        </w:rPr>
        <w:t>E. 2.1</w:t>
      </w:r>
    </w:p>
    <w:p>
      <w:r>
        <w:t>Die Vorinstanz hat ausgeführt, die Klägerin habe in ihrer Beschwerde nur die Aufhebung von Dispositiv-Ziffer 5 der angefochtenen Verfügung und die Befreiung von der Nachzahlungspflicht beantragt. Dieses (durch eine Rechtsanwältin) an sich klar formulierte Begehren sei so zu verstehen, dass sie damit die ersatzlose Aufhebung von Dispositiv-Ziffer 5 beantrage, d.h. den Verzicht auf Zusprechung einer zusätzlichen, über die Parteientschädigung gemäss Dispositiv-Ziffer 4 hinausgehenden Entschädigung an ihren unentgeltlichen Rechtsvertreter im erstinstanzlichen Verfahren. Entgegen dessen Ausführungen in der Beschwerdeantwort böten die gestellten Beschwerdeanträge auch unter Mitberücksichtigung der Beschwerdebegründung und des angefochtenen Entscheids keine rechtsgenügenden Anhaltspunkte dafür, dass sich die Beschwerde "einzig gegen die Verteilung der Prozesskosten" richte, d.h. dass die Klägerin die vorinstanzliche Dispositiv-Ziffer 4 mitanfechten und auch deren Abänderung (und gegebenenfalls mit welchem konkreten Inhalt) verlangen würde. Allein ihr Vorbringen, es sei Sache der unterlegenen Beklagten, "für die volle Parteientschädigung" bzw. "vollumfänglich für die Parteientschädigung auf[zu]kommen", lasse angesichts der unterschiedlichen Rechtsnatur von Parteientschädigung und Entschädigung des unentgeltlichen Rechtsbeistands nicht auf einen entsprechenden Anfechtungswillen schliessen. Zudem erschiene fraglich, ob die Klägerin zur Anfechtung von Dispositiv-Ziffer 4 (zwecks Erhöhung der dem Beschwerdegegner zugesprochenen Parteientschädigung) überhaupt legitimiert wäre. Jedenfalls widerspräche eine allfällige Erhöhung der Parteientschädigung angesichts der Nachzahlungspflicht ( Art. 123 ZPO ), welche auch die vom Staat ausgerichtete Entschädigung nach Art. 122 Abs. 2 ZPO erfasse, ihren eigenen Interessen.</w:t>
      </w:r>
    </w:p>
    <w:p>
      <w:r>
        <w:rPr>
          <w:b/>
        </w:rPr>
        <w:t>E. 2.2</w:t>
      </w:r>
    </w:p>
    <w:p>
      <w:r>
        <w:t>Der Beschwerdeführer bringt vor, die Klägerin habe entgegen der Ansicht der Vorinstanz nicht eine Kürzung seiner Gesamtentschädigung erreichen wollen. Die Klägerin habe ihre Beschwerde ausdrücklich gegen die Beklagte und das Bezirksgericht Zürich gerichtet. Zudem habe sie in Rz. 5 der Beschwerdeschrift an die Vorinstanz ausgeführt, dass "sich die vorliegende Beschwerde in Bezug auf die Zuteilung der Entschädigung für die unentgeltliche Rechtspflege zur einstweiligen Bezahlung durch die Gerichtskasse mit einer Nachzahlungspflicht nach Art. 123 ZPO zu Lasten der [Klägerin] gegen die [Beklagte richtet]. Es ist Sache der unterlegenen [Beklagten], für die volle Parteientschädigung aufzukommen". Sie habe weiter unmissverständlich klargestellt, dass sich ihre Beschwerde einzig dagegen richte, dass ihr überhaupt Prozesskosten auferlegt worden seien. Sie habe in diesem Zusammenhang ausdrücklich festgehalten, dass es ihrer Meinung nach nicht angehe, dem Beschwerdeführer seine Entschädigung von insgesamt Fr. 1'620.-- (Fr. 612.35 + Fr. 1'007.65) zu kürzen. Konkret habe sie in Rz. 18 ihrer Beschwerdeschrift ausgeführt, dass "die von der Vorinstanz festgelegte angemessene Entschädigung von CHF 1'620.-- als untere Grenze der vollen Parteientschädigung (§ 23 AnwGebV) gelten" müsse.</w:t>
      </w:r>
    </w:p>
    <w:p>
      <w:r>
        <w:rPr>
          <w:b/>
        </w:rPr>
        <w:t>E. 2.3</w:t>
      </w:r>
    </w:p>
    <w:p>
      <w:r>
        <w:t>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w:t>
      </w:r>
    </w:p>
    <w:p>
      <w:r>
        <w:rPr>
          <w:b/>
        </w:rPr>
        <w:t>E. 2.4</w:t>
      </w:r>
    </w:p>
    <w:p>
      <w:r>
        <w:t>Die Vorinstanz kam bei ihrer Auslegung zum Schluss, die Klägerin beantrage die ersatzlose Aufhebung von Dispositiv-Ziffer 5 der Verfügung des Bezirksgerichts Zürich vom 5. Oktober 2017 und damit die ersatzlose Streichung der dem Beschwerdeführer darin zugesprochenen Entschädigung. Entsprechend teilte sie dem Beschwerdeführer angesichts des drohenden Eingriffs in seine Rechtsstellung die Rolle des Beschwerdegegners zu. Dies ist aus den folgenden Gründen nicht willkürlich: Die Klägerin wehrte sich mit ihrer Beschwerde dagegen, dass das Bezirksgericht dem Kanton die Zahlung einer Entschädigung an den Beschwerdeführer auferlegt und sie zur Nachzahlung verpflichtet hatte. Das Bezirksgericht hatte die von der Beklagten geschuldete Parteientschädigung nach Massgabe der Verordnung des Obergerichts vom 8. September 2010 über die Anwaltsgebühren (AnwGebV; LS 215.3) festgelegt. Angesichts des Streitwerts von Fr. 1'701.-- ergab dies eine Grundgebühr von Fr. 425.25. Das Bezirksgericht hat die Gebühr sogar noch um einen Drittel erhöht, wofür die AnwGebV Raum lässt. Es sah jedoch keine gesetzliche Grundlage dafür, der Beklagten eine noch höhere Entschädigung aufzuerlegen. Wenn nun die Klägerin die zusätzlich dem Kanton auferlegte Entschädigung anficht und gleichzeitig keine gesetzliche Grundlage dartut, um dem Beschwerdeführer zu Lasten der Beklagten eine höhere als die bereits zugesprochene Parteientschädigung zuzusprechen, so geht die Aufhebung der dem Kanton auferlegten Entschädigung zwingend zu Lasten des Beschwerdeführers. Die Vorinstanz hat nicht willkürlich gehandelt, indem sie dieser Situation Rechnung getragen, den Beschwerdeführer als Gegenpartei in das Verfahren aufgenommen und ihn nach dem Obsiegen der Klägerin konsequenterweise für kosten- und entschädigungspflichtig erklärt hat. Es kann daher auch keine Rede sein von einer Verletzung der Eigentumsgarantie durch Auferlegung der Kosten. Die Rügen des Beschwerdeführers erweisen sich als unbegründet.</w:t>
      </w:r>
    </w:p>
    <w:p>
      <w:r>
        <w:rPr>
          <w:b/>
        </w:rPr>
        <w:t>E. 3</w:t>
      </w:r>
    </w:p>
    <w:p>
      <w:r>
        <w:t>Nach dem Gesagten ist auf die Beschwerde in Zivilsachen nicht einzutreten. Die subsidiäre Verfassungsbeschwerde ist abzuweisen.</w:t>
      </w:r>
    </w:p>
    <w:p>
      <w:r>
        <w:t>Die Gerichtskosten sind damit dem Beschwerdeführer aufzuerlegen ( Art. 66 Abs. 1 BGG ). Da keine Vernehmlassungen eingeholt wurden, ist den Beschwerdegegnern und den Verfahrensbeteiligten mangels Aufwand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