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4A_16/2024 vom 26. Juni 2024</w:t>
      </w:r>
    </w:p>
    <w:p>
      <w:r>
        <w:t>Bundesgericht, 2024-06-26, FR</w:t>
      </w:r>
    </w:p>
    <w:p>
      <w:r>
        <w:rPr>
          <w:b/>
        </w:rPr>
        <w:t xml:space="preserve">Quelle: </w:t>
      </w:r>
      <w:r>
        <w:t>https://mcp.opencaselaw.ch/entscheid/bger_4A_16_2024</w:t>
      </w:r>
    </w:p>
    <w:p>
      <w:r>
        <w:t>FR: TF 4A_16/2024 du 26 juin 2024</w:t>
      </w:r>
    </w:p>
    <w:p>
      <w:r>
        <w:t>IT: TF 4A_16/2024 del 26 giugno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dans les mémoires qu'elles ont adressés au Tribunal fédéral, les parties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TAS se trouve à Lausanne. Le recourant n'avait pas son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le recourant, aucune de ces conditions de recevabilité ne fait problème en l'espèce. Rien ne s'oppose, dès lors, à l'entrée en matière. Demeure réservé l'examen de la recevabilité, sous l'angle de leur motivation, des moyens invoqués par l'intéressé.</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 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 4A_244/2023 du 3 avril 2024 consid. 4.1 destiné à la publication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premier moyen, le recourant, invoquant l' art. 190 al. 2 let . d LDIP, dénonce une violation de son droit d'être entendu. Il reproche à la Formation d'avoir ignoré certains arguments qu'il avait avancés au cours de la procédure arbitrale.</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références citées).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Ceux-ci pourront le faire en démontrant que, contrairement aux affirmations du recourant, les éléments omis n'étaient pas pertinents pour résoudre le cas concret ou, s'ils l'étaient, qu'ils ont été réfutés implicitement par le tribunal arbitral ( ATF 133 III 235 consid. 5.2). Au demeurant, le grief tiré de la violation du droit d'être entendu ne doit pas servir, pour la partie qui se plaint de vices affectant la motivation de la sentence, à provoquer par ce biais un examen de l'application du droit de fond ( ATF 142 III 360 consid. 4.1.2 et les références citées).</w:t>
      </w:r>
    </w:p>
    <w:p>
      <w:r>
        <w:rPr>
          <w:b/>
        </w:rPr>
        <w:t>E. 5.2</w:t>
      </w:r>
    </w:p>
    <w:p>
      <w:r>
        <w:t>Le recourant indique avoir soutenu, lors de la procédure arbitrale, que l'intimée n'avait pas formellement contesté, en se conformant aux exigences procédurales applicables, l'allégation de fait selon laquelle l'accord transactionnel litigieux avait effectivement été signé le 4 juillet 2023. Or, la Formation n'aurait, à son avis, pas examiné cet argument. Semblable argumentation tombe à faux. En l'occurrence, le TAS a correctement exposé les positions respectives des parties s'agissant de la problématique relative à la date à laquelle l'accord transactionnel avait effectivement été conclu. Sous n. 62 let. l. et m. de sa sentence, il a en particulier mentionné ce qui suit: " l. The First Respondent [l'intimée] raises several questions as to the correctness of the sequence of events that took place in and around the time that the Settlement Agreement was allegedly signed by the Player and the Club on 4 July 2023. It is the strong conviction of the First Respondent that the Club and the Player had in fact signed the Settlement Agreement after the Appealed Decision and pursued only the avoidance of the sporting sanctions imposed against the Appellant by claiming that the signature took place on 4 July 2023. m. These question marks lead the First Respondent to conclude that " none of the elements presented by the Appellant are persuasive enough to hold the idea that indeed on 4 July 2023 the Player and the Club reached a Settlement Agreement. It seems more reasonable to think that the Settlement Agreement was the result of a negative outcome for the Appellant who had to compensate the Player and, principally, the fact that it had to serve sporting sanctions ". " Lors de l'examen des mérites de l'appel, la Formation a examiné par le menu s'il était suffisamment établi que l'accord transactionnel avait été conclu le 4 juillet 2023 et déterminé qui supportait le fardeau de la preuve d'une telle allégation (sentence, n. 77-97). A cet égard, elle a notamment constaté que l'intimée avait en substance soutenu, lors de la procédure d'arbitrage, que le recourant et le joueur avaient signé la transaction litigieuse après le prononcé de la décision rendue par la CRL ("... FIFA [...] alleged that the Player and the Club had not entered into a bona fide agreement, as it has been " FIFA's strong conviction that the Club and the Player signed the Settlement Agreement after the DRC [CRL] decision and pursues only the avoidance of the sporting sanctions against the Appellant "; sentence, n. 88). Après avoir jugé que le recourant supportait le fardeau de la preuve de l'allégation selon laquelle l'accord transactionnel avait été conclu le 4 juillet 2023, la Formation a considéré, sur la base des preuves administrées, que l'intéressé avait échoué à prouver cet élément. Elle a en particulier souligné qu'aucun document écrit ne venait étayer la thèse prônée par le recourant et pointé du doigt le fait que celui-ci avait attendu le 25 juillet 2023, soit huit jours après avoir reçu la décision rendue par la CRL, pour informer l'intimée qu'un accord transactionnel avait prétendument été conclu le 4 juillet 2023 (sentence, n. 92-97). A la lecture de la sentence querellée, il appert ainsi que la Formation a bel et bien rejeté, ne serait-ce que de manière implicite, l'argument auquel se réfère l'intéressé. La motivation retenue par les arbitres démontre en effet que ceux-ci ont considéré que l'intimée avait suffisamment contesté l'allégation de son adversaire selon laquelle la signature de l'accord transactionnel était intervenue le 4 juillet 2023, puisqu'ils ont jugé qu'il appartenait au recourant de prouver semblable allégation. Dans ses observations sur le recours, le TAS expose également de manière convaincante, sans être contredit par le recourant, que l'intimée n'a pas admis l'allégation de fait formulée par le club. Le moyen pris de la violation du droit d'être entendu du recourant n'est donc pas fondé, puisqu'il n'apparaît pas que la Formation aurait omis d'examiner des problèmes pertinents pour l'issue du litige. Quant à savoir si la motivation fournie est cohérente et convaincante, cette question ne ressortit pas au droit d'être entendu et échappe à la cognition du Tribunal fédéral.</w:t>
      </w:r>
    </w:p>
    <w:p>
      <w:r>
        <w:rPr>
          <w:b/>
        </w:rPr>
        <w:t>E. 6</w:t>
      </w:r>
    </w:p>
    <w:p>
      <w:r>
        <w:t>Dans un second moyen, le recourant soutient que la sentence attaquée est contraire à l'ordre public visé par l' art. 190 al. 2 let . e LDIP.</w:t>
      </w:r>
    </w:p>
    <w:p>
      <w:r>
        <w:rPr>
          <w:b/>
        </w:rPr>
        <w:t>E. 6.1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6.1.1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 4A_318/2018 du 4 mars 2019 consid. 4.3.1).</w:t>
      </w:r>
    </w:p>
    <w:p>
      <w:r>
        <w:rPr>
          <w:b/>
        </w:rPr>
        <w:t>E. 6.1.2</w:t>
      </w:r>
    </w:p>
    <w:p>
      <w:r>
        <w:t>Il y a violation de l'ordre public procédural lorsque des principes de procédure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w:t>
      </w:r>
    </w:p>
    <w:p>
      <w:r>
        <w:rPr>
          <w:b/>
        </w:rPr>
        <w:t>E. 6.2</w:t>
      </w:r>
    </w:p>
    <w:p>
      <w:r>
        <w:t>Le recourant prétend que la sentence querellée serait contraire à l'ordre public car elle reconnaîtrait implicitement qu'il aurait produit un titre falsifié. En n'admettant pas que l'accord transactionnel avait été signé le 4 juillet 2023 alors même que cette date figure sur ledit document, la Formation aurait porté atteinte à son honneur et l'aurait accusé d'avoir commis une grave infraction pénale. Pareille argumentation ne résiste pas à l'examen. Contrairement à ce qu'affirme le recourant, la sentence attaquée ne laisse nullement entendre que l'intéressé aurait produit un titre falsifié. Les arbitres ont simplement considéré que le recourant avait échoué à établir, au degré de preuve requis, que l'accord transactionnel avait effectivement été conclu le 4 juillet 2023, raison pour laquelle il devait supporter l'échec de la preuve sur ce point. Dans ses observations sur le recours, la Formation a également insisté sur le fait que les considérations émises par elle dans la sentence entreprise ne devaient en aucun cas être vues comme une accusation de crime. Pour le reste, les explications appellatoires fournies par le recourant ne permettent pas de démontrer l'existence d'une contrariété à l'ordre public.</w:t>
      </w:r>
    </w:p>
    <w:p>
      <w:r>
        <w:rPr>
          <w:b/>
        </w:rPr>
        <w:t>E. 7</w:t>
      </w:r>
    </w:p>
    <w:p>
      <w:r>
        <w:t>Au vu de ce qui précède, le recours doit être rejeté dans la mesure de sa recevabilité. Le recourant, qui succombe, supportera les frais de la présente procédure ( art. 66 al. 1 LTF ). Il n'y a pas lieu d'allouer de dépens à l'intimée, dès lors qu'elle a rédigé elle-même sa réponse au recours (arrêt 4A_542/2021 du 28 février 2022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