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4A_169/2025 vom 2. Juni 2025</w:t>
      </w:r>
    </w:p>
    <w:p>
      <w:r>
        <w:t>Bundesgericht, 2025-06-02, DE</w:t>
      </w:r>
    </w:p>
    <w:p>
      <w:r>
        <w:rPr>
          <w:b/>
        </w:rPr>
        <w:t xml:space="preserve">Quelle: </w:t>
      </w:r>
      <w:r>
        <w:t>https://mcp.opencaselaw.ch/entscheid/bger_4A_169_2025</w:t>
      </w:r>
    </w:p>
    <w:p>
      <w:r>
        <w:t>FR: TF 4A_169/2025 du 2 juin 2025</w:t>
      </w:r>
    </w:p>
    <w:p>
      <w:r>
        <w:t>IT: TF 4A_169/2025 del 2 giugno 2025</w:t>
      </w:r>
    </w:p>
    <w:p>
      <w:pPr>
        <w:pStyle w:val="Heading2"/>
      </w:pPr>
      <w:r>
        <w:t>Erwägungen</w:t>
      </w:r>
    </w:p>
    <w:p>
      <w:r>
        <w:rPr>
          <w:b/>
        </w:rPr>
        <w:t>E. 1</w:t>
      </w:r>
    </w:p>
    <w:p>
      <w:r>
        <w:t>Mit Verfügung vom 25. November 2024 wies das Zivilkreisgericht Basel-Landschaft West in einem vom Beschwerdeführer eingeleiteten Forderungsprozess dessen Gesuch um unentgeltliche Rechtspflege wegen Aussichtslosigkeit seiner Klage bzw. des Schlichtungsgesuchs ab.</w:t>
      </w:r>
    </w:p>
    <w:p>
      <w:r>
        <w:t>Mit Entscheid vom 4. März 2025 wies das Kantonsgericht Basel-Landschaft die vom Beschwerdeführer gegen die Verfügung vom 25. November 2024 erhobene Beschwerde ab, soweit es auf diese eintrat.</w:t>
      </w:r>
    </w:p>
    <w:p>
      <w:r>
        <w:t>Mit Eingabe vom 2. April 2025 erklärte der Beschwerdeführer dem Bundesgericht, den Entscheid des Kantonsgerichts Basel-Landschaft vom 4. März 2025 mit Beschwerde anfechten zu wollen.</w:t>
      </w:r>
    </w:p>
    <w:p>
      <w:r>
        <w:t>Am 10. April 2025 und 14. Mai 2025 reichte der Beschwerdeführer dem Bundesgericht weitere Eingaben samt Beilagen ein.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Eine Beschwerde an das Bundesgericht muss innerhalb von 30 Tagen nach der Eröffnung der vollständigen Ausfertigung des angefochtenen Entscheids beim Bundesgericht erhoben werden ( Art. 100 Abs. 1 BGG ). Bei dieser Beschwerdefrist handelt es sich um eine gesetzliche Frist, die nach Art. 47 BGG nicht erstreckt werden kann.</w:t>
      </w:r>
    </w:p>
    <w:p>
      <w:r>
        <w:t>Die Eingabe des Beschwerdeführers vom 14. Mai 2025 erfolgte nach Ablauf der dreissigtägigen Frist für eine Beschwerde nach Art. 100 Abs. 1 BGG . Sie hat daher unbeachtet zu bleiben.</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2.4</w:t>
      </w:r>
    </w:p>
    <w:p>
      <w:r>
        <w:t>Der Beschwerdeführer setzt sich in seinen Beschwerdeeingaben nicht hinreichend mit den Erwägungen des angefochtenen Entscheids des Kantonsgerichts Basel-Landschaft vom 4. März 2025 auseinander und zeigt nicht rechtsgenügend auf, inwiefern die Vorinstanz mit ihrem Entscheid Bundesrecht verletzt hätte, sondern unterbreitet dem Bundesgericht in unzulässiger Weise seine eigene Sicht der Dinge. Er erwähnt zwar verschiedene Bestimmungen der EMRK, der BV sowie der ZPO, so etwa Art. 6 EMRK , Art. 29 Abs. 3 BV und Art. 119 Abs. 6 ZPO , zeigt jedoch nicht hinreichend unter Bezugnahme auf die konkreten Erwägungen des angefochtenen Entscheids auf, inwiefern die Vorinstanz diese verletzt hätte.</w:t>
      </w:r>
    </w:p>
    <w:p>
      <w:r>
        <w:t>Auf die Beschwerde ist somit im vereinfachten Verfahren nach Art. 108 Abs. 1 lit. b BGG nicht einzutreten.</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