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169/2015 vom 30. Juni 2015</w:t>
      </w:r>
    </w:p>
    <w:p>
      <w:r>
        <w:t>Bundesgericht, 2015-06-30, DE</w:t>
      </w:r>
    </w:p>
    <w:p>
      <w:r>
        <w:rPr>
          <w:b/>
        </w:rPr>
        <w:t xml:space="preserve">Quelle: </w:t>
      </w:r>
      <w:r>
        <w:t>https://mcp.opencaselaw.ch/entscheid/bger_4A_169_2015</w:t>
      </w:r>
    </w:p>
    <w:p>
      <w:r>
        <w:t>FR: TF 4A 169/2015 du 30 juin 2015</w:t>
      </w:r>
    </w:p>
    <w:p>
      <w:r>
        <w:t>IT: TF 4A 169/2015 del 30 giugno 2015</w:t>
      </w:r>
    </w:p>
    <w:p>
      <w:pPr>
        <w:pStyle w:val="Heading2"/>
      </w:pPr>
      <w:r>
        <w:t>Regeste</w:t>
      </w:r>
    </w:p>
    <w:p>
      <w:r>
        <w:t>UWG; Vorsorgliche Massnahmen | Immaterialgüter-, Wettbewerbs- und Kartellrecht</w:t>
      </w:r>
    </w:p>
    <w:p>
      <w:pPr>
        <w:pStyle w:val="Heading2"/>
      </w:pPr>
      <w:r>
        <w:t>Erwägungen</w:t>
      </w:r>
    </w:p>
    <w:p>
      <w:r>
        <w:rPr>
          <w:b/>
        </w:rPr>
        <w:t>E. 1</w:t>
      </w:r>
    </w:p>
    <w:p>
      <w:r>
        <w:t>Das Bundesgericht prüft von Amtes wegen und mit freier Kognition, ob ein Rechtsmittel zulässig ist ( Art. 29 Abs. 1 BGG ; BGE 139 III 133 E. 1 S. 133 mit Hinweisen). Immerhin muss die Eingabe von der beschwerdeführenden Partei auch bezüglich der Sachurteilsvoraussetzungen hinreichend begründet werden ( Art. 42 Abs. 1 und 2 BGG ; BGE 141 IV 1 E. 1.1 S. 4; 134 II 120 E. 1 S. 121; 133 II 400 E. 2 S. 403 f.).</w:t>
      </w:r>
    </w:p>
    <w:p>
      <w:r>
        <w:rPr>
          <w:b/>
        </w:rPr>
        <w:t>E. 1.1</w:t>
      </w:r>
    </w:p>
    <w:p>
      <w:r>
        <w:t>Der angefochtene Entscheid betrifft vorsorgliche Massnahmen. Solche Entscheide gelten nur dann als Endentscheide im Sinne von Art. 90 BGG , wenn sie in einem eigenständigen Verfahren ergehen. 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138 III 76 E. 1.2, 333 E. 1.2 S. 334 f.; 137 III 324 E. 1.1 S. 327 f.). Die Vorinstanz ordnete im angefochtenen Entscheid vorsorgliche Massnahmen an, die vor einem Hauptverfahren beantragt wurden und nur unter der Bedingung Bestand haben, dass innert Frist ein Hauptverfahren eingeleitet wird. Demnach handelt es sich beim betreffenden Entscheid um einen Zwischenentscheid nach Art. 93 BGG . Gegen solche Zwischenentscheide ist die Beschwerde nur zulässig, wenn sie einen nicht wieder gutzumachenden Nachteil bewirken können ( Art. 93 Abs. 1 lit. a BGG ). Dabei muss es sich um einen Nachteil rechtlicher Natur handeln, der auch durch einen für den Beschwerdeführer günstigen Entscheid in der Zukunft nicht mehr behoben werden kann ( BGE 139 IV 113 E. 1; 139 V 604 E. 3.2; 138 III 46 E. 1.2 S. 47, 333 E. 1.3.1; 137 III 324 E. 1.1 S. 328; je mit Hinweisen). Rein tatsächliche Nachteile wie die Verlängerung oder Verteuerung des Verfahrens reichen nicht aus ( BGE 138 III 190 E. 6 S. 192; 137 III 380 E. 1.2.1 mit Hinweisen). Die selbständige Anfechtbarkeit von Zwischenentscheiden bildet aus prozessökonomischen Gründen eine Ausnahme vom Grundsatz, dass sich das Bundesgericht mit jeder Angelegenheit nur einmal befassen soll. Die Ausnahme ist restriktiv zu handhaben ( BGE 138 III 94 E. 2.2 S. 95 ; 135 I 261 E. 1.2; 134 III 188 E. 2.2; 133 III 629 E. 2.1). Während die frühere Rechtsprechung bei Zwischenentscheiden, mit denen vorsorgliche Massnahmen erlassen oder verweigert wurden, einen nicht wieder gutzumachenden Nachteil regelmässig bejahte ( BGE 134 I 83 E. 3.1 S. 87 mit Hinweisen auf die frühere Rechtsprechung), wird nach der neueren, nunmehr gefestigten Rechtsprechung verlangt, dass ein Beschwerdeführer in der Beschwerdebegründung aufzeigt, inwiefern ihm im konkreten Fall ein nicht wieder gutzumachender Nachteil rechtlicher Natur drohe ( BGE 137 III 324 E. 1.1 S. 328 f.; Urteil 4A_585/2014 vom 27. November 2014 E. 1.1 mit zahlreichen Hinweisen, sic! 3/2015 S. 175). Die Beschwerdeführerin ignoriert dies vollkommen und legt mit keinem Wort dar, inwiefern ihr durch den angefochtenen Entscheid ein nicht wieder gutzumachenden Nachteil drohen soll, was auch nicht ohne weiteres erkennbar ist. Auf die Beschwerde kann daher nicht eingetreten werden.</w:t>
      </w:r>
    </w:p>
    <w:p>
      <w:r>
        <w:rPr>
          <w:b/>
        </w:rPr>
        <w:t>E. 1.2</w:t>
      </w:r>
    </w:p>
    <w:p>
      <w:r>
        <w:t>Bei dieser Sachlage kann offen bleiben, ob die weitere, unter den Parteien strittige Eintretensvoraussetzung erfüllt ist, dass die Beschwerdeführerin ein aktuelles und praktisches Rechtsschutzinteresse an der Aufhebung des angefochtenen Entscheids hat ( Art. 76 Abs. 1 lit. b BGG ; BGE 131 I 153 E. 1.2 S. 157; 120 II 5 E. 2a).</w:t>
      </w:r>
    </w:p>
    <w:p>
      <w:r>
        <w:rPr>
          <w:b/>
        </w:rPr>
        <w:t>E. 2</w:t>
      </w:r>
    </w:p>
    <w:p>
      <w:r>
        <w:t>Dem Verfahrensausgang entsprechend wird die Beschwerdeführerin kosten- und entschädigungspflichtig ( Art. 66 Abs. 1 und Art. 68 Abs. 2 BGG ). Dem geringen Aufwand für das vorliegende Verfahren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