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4A_168/2025 vom 4. August 2025</w:t>
      </w:r>
    </w:p>
    <w:p>
      <w:r>
        <w:t>Bundesgericht, 2025-08-04, FR</w:t>
      </w:r>
    </w:p>
    <w:p>
      <w:r>
        <w:rPr>
          <w:b/>
        </w:rPr>
        <w:t xml:space="preserve">Quelle: </w:t>
      </w:r>
      <w:r>
        <w:t>https://mcp.opencaselaw.ch/entscheid/bger_4A_168_2025</w:t>
      </w:r>
    </w:p>
    <w:p>
      <w:r>
        <w:t>FR: TF 4A_168/2025 du 4 août 2025</w:t>
      </w:r>
    </w:p>
    <w:p>
      <w:r>
        <w:t>IT: TF 4A_168/2025 del 4 agosto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le recourant a employé le français dans le mémoire qu'il a adressé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domicile respectivement son siège en Suisse au moment déterminant. Les dispositions du chapitre 12 de la LDIP sont donc applicables ( art. 176 al. 1 LDIP ).</w:t>
      </w:r>
    </w:p>
    <w:p>
      <w:r>
        <w:rPr>
          <w:b/>
        </w:rPr>
        <w:t>E. 3</w:t>
      </w:r>
    </w:p>
    <w:p>
      <w:r>
        <w:t>Qu'il s'agisse de l'objet du recours, de la qualité pour recourir ou encore du délai de recours, aucune de ces conditions de recevabilité ne fait problème en l'espèce. Rien ne s'oppose donc à l'entrée en matière. Demeure toutefois réservé l'examen de la recevabilité, sous l'angle de sa motivation, de l'unique grief invoqué par le recourant.</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 d LDIP, dénonce une violation de son droit d'être entendu. Il reproche à la Formation d'avoir omis d'examiner un argument pertinent avancé par lui.</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références citées). 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Le recourant expose, dans son mémoire de recours, qu'il a avancé, au cours de la procédure d'arbitrage, l'argument selon lequel les anomalies détectées dans son passeport biologique découlaient d'une forte réduction de sa charge d'entraînement ("désentraînement" ["detraining"]), à la suite notamment de la maladie qu'il avait contractée (COVID-19). Il rappelle avoir fait valoir, dans sa réponse à l'appel, que cette période d'inactivité prolongée entre la mi-mai et la mi-juillet 2022 avait pu donner lieu à des fluctuations hématologiques significatives affectant son profil sanguin et singulièrement son taux de réticulocytes. Il précise aussi avoir produit des publications scientifiques au soutien de la thèse qu'il défendait. Le recourant insiste également sur le fait que les experts des deux parties ont été entendus durant la procédure au sujet des conséquences que pouvait avoir le "désentraînement" sur le profil hématologique d'un sportif. Selon lui, la Formation aurait cependant omis d'examiner cet argument et ne l'aurait pas écarté implicitement. Le recourant s'attelle enfin à démontrer que cet élément était susceptible d'influer sur le sort du litige.</w:t>
      </w:r>
    </w:p>
    <w:p>
      <w:r>
        <w:rPr>
          <w:b/>
        </w:rPr>
        <w:t>E. 5.3</w:t>
      </w:r>
    </w:p>
    <w:p>
      <w:r>
        <w:t>L'argumentation développée par le recourant ne suffit pas à établir une violation des principes jurisprudentiels susmentionnés, relatifs à l'un des éléments constitutifs de la garantie du droit d'être entendu. Il appert en effet que, sous le couvert d'une prétendue violation de l' art. 190 al. 2 let . d LDIP, le recourant critique, en réalité, la motivation de la sentence entreprise et tente d'inciter la Cour de céans à contrôler le bien-fondé des considérations émises par la Formation pour justifier la solution retenue par elle. Il va sans dire que semblable démarche est vaine. Les considérations détaillées formulées par les arbitres aux fins de conclure à l'existence d'un cas de manipulation sanguine relèvent de l'appréciation des preuves et sont soustraites, comme telles, à l'examen du Tribunal fédéral. Dès lors, le recourant les critique en vain. En tout état de cause, il apparaît, à la lecture de la sentence entreprise, que les arbitres ont écarté, ne serait-ce que de manière implicite, l'argument dont le recourant fait grand cas, même si ce dernier prétend le contraire. Il n'a en effet pas échappé à la Formation que l'intéressé avait invoqué son "désententraînement" pour expliquer les anomalies détectées dans ses marqueurs sanguins. La Formation a, en effet, relevé que l'athlète s'était prévalu de cette circonstance, en juin 2023, lorsque les trois experts avaient conclu unanimement à l'existence probable d'une manipulation sanguine (sentence, n. 20). Elle a également observé que l'arbitre unique, qui avait statué en faveur de l'athlète dans la décision entreprise devant le TAS, avait notamment conclu que le scénario avancé par le recourant à propos de la question du "désentraînement" était plausible (sentence, n. 27). Dans la sentence attaquée, la Formation a en outre bel et bien tenu compte de ce que le recourant avait réduit drastiquement sa charge d'entraînement à la suite de la maladie dont il avait été victime. Elle n'a toutefois visiblement pas vu dans cette circonstance un motif susceptible d'expliquer les anomalies détectées dans le profil sanguin du recourant, mais a au contraire considéré qu'il s'agissait d'un élément accréditant la thèse selon laquelle l'intéressé avait voulu retrouver plus rapidement son état de forme, à la suite de sa période de "désentraînement", en utilisant un ASE (sentence, n.135-136). Au terme de son analyse, la Formation a estimé que les explications fournies par l'intimée, eu égard aux avis scientifiques disponibles et à l'ensemble des faits de la cause, constituaient un scénario de dopage plausible. Il apparaît ainsi que la Formation a écarté, à tout le moins implicitement, l'argument selon lequel le "désentraînement" pouvait expliquer les anomalies détectées dans le profil hématologique du passeport biologique du recourant, étant précisé ici que ce dernier ne saurait obtenir des explications détaillées sur chaque aspect du raisonnement tenu par les arbitres. Il s'ensuit que le moyen soulevé au titre de la violation du droit d'être entendu n'apparaît pas fondé, si tant est qu'il soit recevable.</w:t>
      </w:r>
    </w:p>
    <w:p>
      <w:r>
        <w:rPr>
          <w:b/>
        </w:rPr>
        <w:t>E. 6</w:t>
      </w:r>
    </w:p>
    <w:p>
      <w:r>
        <w:t>Au vu de ce qui précède, le recours doit être rejeté dans la mesure où il est recevable. Invoquant l' art. 64 al. 1 LTF , le recourant sollicite sa mise au bénéfice de l'assistance judiciaire. Comme le recours était voué à l'échec, l'une des deux conditions cumulatives à la réalisation desquelles la disposition citée subordonne l'octroi de l'assistance judiciaire n'est pas remplie en l'espèce. Ladite requête doit, dès lors, être rejetée. Le recourant, qui succombe, supportera ainsi les frais de la présente procédure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