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4A_168/2015 vom 28. Oktober 2015</w:t>
      </w:r>
    </w:p>
    <w:p>
      <w:r>
        <w:t>Bundesgericht, 2015-10-28, IT</w:t>
      </w:r>
    </w:p>
    <w:p>
      <w:r>
        <w:rPr>
          <w:b/>
        </w:rPr>
        <w:t xml:space="preserve">Quelle: </w:t>
      </w:r>
      <w:r>
        <w:t>https://mcp.opencaselaw.ch/entscheid/bger_4A_168_2015</w:t>
      </w:r>
    </w:p>
    <w:p>
      <w:r>
        <w:t>FR: TF 4A_168/2015 du 28 octobre 2015</w:t>
      </w:r>
    </w:p>
    <w:p>
      <w:r>
        <w:t>IT: TF 4A_168/2015 del 28 ottobre 2015</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di lite superiore a fr. 30'000.-- ( art. 74 cpv. 1 lett. b LTF ). Esso si rivela pertanto in linea di principio ammissibile.</w:t>
      </w:r>
    </w:p>
    <w:p>
      <w:r>
        <w:t>Contrariamente a quanto ritenuto dall'opponente ricevibili si rivelano anche la perizia di parte e gli articoli di giornale, che riportano opinioni giuridiche, allegati al ricorso. Essi non costituiscono infatti nuovi mezzi di prova nel senso dell' art. 99 LTF , ma sono mezzi giuridici di difesa o attacco (sentenza 4A_86/2013 del 1° luglio 2013 consid. 1.2.3, non pubblicato nella DTF 139 III 345 ). Non può nemmeno essere dato seguito alla richiesta di estromissione dagli atti della replica corretta, perché questa è giunta dopo il termine indicato nel decreto con cui è stata trasmessa alla ricorrente la risposta dell'opponente. Tale termine ha per scopo d'indicare alla parte fino a quando, per rispettare l'incondizionato diritto di replica sgorgante dagli art. 29 cpv. 1 e 2 Cost. e 6 CEDU, il Tribunale è disposto ad attendere prima di trattare il ricorso. La sua mancata osservanza non ha però per conseguenza l'esclusione dall'incartamento di atti giunti dopo tale termine, ma prima dell'emanazione della decisione (cfr. sentenza 5A_155/2013 del 17 aprile 2013 consid. 1.4).</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w:t>
      </w:r>
    </w:p>
    <w:p>
      <w:r>
        <w:t>Giusta l' art. 42 cpv. 2 LTF nei motivi del ricorso occorre spiegare in modo conciso perché l'atto impugnato viola il diritto. Un ricorso non sufficientemente motivato è inammissibile ( DTF 134 II 244 consid. 2.1). Per soddisfare le esigenze di motivazione, il ricorrente deve confrontarsi con l'argomentazione della sentenza impugnata e spiegare in cosa consiste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t>Il gravame in esame soddisfa solo parzialmente tali requisiti. Il ricorso si rivela inammissibile nella misura in cui la ricorrente si limita ad ampiamente illustrare una propria visione della fattispecie senza spiegare, riferendosi alla motivazione della sentenza impugnata, perché l'autorità cantonale avrebbe violato il diritto. Altrettanto inammissibile si rivela la replica nella - larghissima - misura in cui è stata utilizzata per completare il ricorso.</w:t>
      </w:r>
    </w:p>
    <w:p>
      <w:r>
        <w:rPr>
          <w:b/>
        </w:rPr>
        <w:t>E. 3</w:t>
      </w:r>
    </w:p>
    <w:p>
      <w:r>
        <w:t>Giusta l' art. 257 cpv. 1 CPC il giudice accorda tutela giurisdizionale in procedura sommaria se i fatti sono incontestati o immediatamente comprovabili (lett. a) e la situazione giuridica è chiara (lett. b). Quest'ultima condizione è soddisfatta se, sulla base di una dottrina e di una giurisprudenza invalse, la conseguenza giuridica è senz'altro evincibile dall'applicazione della legge e porta a un risultato univoco.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138 III 123 consid. 2.1.2, con rif.). Per impedire l'accoglimento di una domanda fondata sull' art. 257 CPC non basta tuttavia che la parte convenuta semplicemente sostenga che ci si trova in presenza di una simile situazione o che la stessa potrebbe remotamente entrare in linea di conto (cfr. con riferimento ad un preteso abuso di diritto la sentenza 4A_329/2013 del 10 dicembre 2013 consid. 6.1). Non è nemmeno possibile vanificare la procedura in discussione invocando degli argomenti speciosi, eccependo segnatamente in modo artificioso del diritto straniero (sentenza 4A_415/2013 del 20 gennaio 2014 consid. 7).</w:t>
      </w:r>
    </w:p>
    <w:p>
      <w:r>
        <w:t>A giusta ragione la ricorrente non contesta che in linea di principio un cliente di una banca sita in Svizzera ha diritto, in base alle norme del diritto civile applicabili, a ottenere alla fine della relazione contrattuale il pagamento a contanti dei propri averi senza aver previamente firmato una cosiddetta "dichiarazione di conformità fiscale". Occorre pertanto esaminare se in concreto le obbiezioni sollevate dalla ricorrente vanificano tale diritto dell'opponente o se esse non possono essere immediatamente confutate e l'attore deve far valere le sue pretese nella procedura ordinaria. A tal fine appare irrilevante, contrariamente a quanto pare ritenere la ricorrente, che tribunali di prima istanza di altri Cantoni avrebbero deciso in modo diverso dal Pretore in fattispecie analoghe.</w:t>
      </w:r>
    </w:p>
    <w:p>
      <w:r>
        <w:rPr>
          <w:b/>
        </w:rPr>
        <w:t>E. 4.1</w:t>
      </w:r>
    </w:p>
    <w:p>
      <w:r>
        <w:t>La Corte cantonale ha ritenuto che la parte dell'appello contenuta nel capitolo " Obbligo di gestione del rischio legale e reputazionale, sanzioni da parte della FINMA " fosse irricevibile per carenza di motivazione. Essa ha poi indicato di ritenere utile esternare una serie di osservazioni.</w:t>
      </w:r>
    </w:p>
    <w:p>
      <w:r>
        <w:rPr>
          <w:b/>
        </w:rPr>
        <w:t>E. 4.2</w:t>
      </w:r>
    </w:p>
    <w:p>
      <w:r>
        <w:t>La ricorrente critica da pagina 13 a 23 del ricorso tali osservazioni e la decisione del Pretore, che non avrebbe - a torto - emanato una decisione di non entrata nel merito.</w:t>
      </w:r>
    </w:p>
    <w:p>
      <w:r>
        <w:rPr>
          <w:b/>
        </w:rPr>
        <w:t>E. 4.3</w:t>
      </w:r>
    </w:p>
    <w:p>
      <w:r>
        <w:t>La predetta argomentazione ricorsuale si rivela inammissibile. Infatti, da un lato, la ricorrente trascura la motivazione principale della Corte cantonale, che ha dichiarato l'appello irricevibile a causa della sua motivazione insufficiente, e, dall'altro, pare dimenticare che può unicamente impugnare la sentenza emanata dall'ultima istanza cantonale e non anche quella del giudice di primo grado.</w:t>
      </w:r>
    </w:p>
    <w:p>
      <w:r>
        <w:rPr>
          <w:b/>
        </w:rPr>
        <w:t>E. 5.1</w:t>
      </w:r>
    </w:p>
    <w:p>
      <w:r>
        <w:t>La Corte cantonale ha ritenuto l'appello insufficientemente motivato anche con riferimento al capitolo " Rischio di procedimenti e sanzioni di carattere penale e fiscale ", perché la ricorrente non ha spiegato per quale ragione la legge italiana sarebbe applicabile al caso in esame.</w:t>
      </w:r>
    </w:p>
    <w:p>
      <w:r>
        <w:rPr>
          <w:b/>
        </w:rPr>
        <w:t>E. 5.2</w:t>
      </w:r>
    </w:p>
    <w:p>
      <w:r>
        <w:t>La ricorrente indica l'eventualità d'incorrere, con i propri dipendenti, in sanzioni previste dal Codice penale italiano (art. 648bis e 648ter) e ritiene che ciò costituisca un'impossibilità nel senso dell' art. 119 CO di effettuare l'operazione richiesta. Sennonché essa omette di attaccare la motivazione principale secondo cui l'appello era irricevibile su questo punto, ragione per cui anche questa censura si rivela inammissibile.</w:t>
      </w:r>
    </w:p>
    <w:p>
      <w:r>
        <w:rPr>
          <w:b/>
        </w:rPr>
        <w:t>E. 6.1</w:t>
      </w:r>
    </w:p>
    <w:p>
      <w:r>
        <w:t>La Corte cantonale ha pure ritenuto l'appello insufficientemente motivato con riferimento alla normativa antiriciclaggio elvetica. Ha poi considerato l'argomentazione della banca pretestuosa, perché essa si è posta il problema del riciclaggio di denaro solo al momento della chiusura della relazione, dopo averla gestita per 5 anni. Ha inoltre aggiunto che le modifiche degli art. 305</w:t>
      </w:r>
    </w:p>
    <w:p>
      <w:r>
        <w:t>bis e 305</w:t>
      </w:r>
    </w:p>
    <w:p>
      <w:r>
        <w:t>ter CP non sono ancora entrate in vigore e che nel diritto penale esiste il principio della non retroattività.</w:t>
      </w:r>
    </w:p>
    <w:p>
      <w:r>
        <w:rPr>
          <w:b/>
        </w:rPr>
        <w:t>E. 6.2</w:t>
      </w:r>
    </w:p>
    <w:p>
      <w:r>
        <w:t>La ricorrente non ritiene tale constatazione "condivisibile", perché il Pretore aveva dedicato due scarni paragrafi alla questione, ragione per cui non poteva da lei essere esatto un confronto più dettagliato. Poiché la Corte di appello si è pronunciata sul tema, la ricorrente ritiene che le sue contestazioni sarebbero state "perfettamente sostanziate", e afferma che dalla sua entrata in vigore l'art. 305</w:t>
      </w:r>
    </w:p>
    <w:p>
      <w:r>
        <w:t>bis cpv. 1</w:t>
      </w:r>
    </w:p>
    <w:p>
      <w:r>
        <w:t>bis CP sarà applicabile anche al provento di delitti fiscali: essa si esporrebbe quindi al rischio di un perseguimento penale.</w:t>
      </w:r>
    </w:p>
    <w:p>
      <w:r>
        <w:rPr>
          <w:b/>
        </w:rPr>
        <w:t>E. 6.3</w:t>
      </w:r>
    </w:p>
    <w:p>
      <w:r>
        <w:t>Anche con tale argomentazione la ricorrente non riesce a far apparire la decisione impugnata contraria al diritto federale. Ci si può limitare a osservare che la banca nemmeno spiega come il limite di fr. 300'000.-- previsto dalla novella legislativa, per altro nemmeno ancora in vigore (v. RU 2015 1406), potrebbe in concreto essere raggiunto e che l'aggiunta di considerazioni abbondanziali in una sentenza su un argomento abbozzato in un appello non significa necessariamente che questo sia stato sufficientemente motivato.</w:t>
      </w:r>
    </w:p>
    <w:p>
      <w:r>
        <w:rPr>
          <w:b/>
        </w:rPr>
        <w:t>E. 7.1</w:t>
      </w:r>
    </w:p>
    <w:p>
      <w:r>
        <w:t>Infine la ricorrente invoca il principio iura novit curia e afferma che quanto disposto dall' art. 19 LDIP pure ostacola l'esecuzione della richiesta del cliente, visto il rischio per la banca di essere perseguita dalle autorità penali e fiscali dello Stato in cui l'opponente è residente e cittadino.</w:t>
      </w:r>
    </w:p>
    <w:p>
      <w:r>
        <w:rPr>
          <w:b/>
        </w:rPr>
        <w:t>E. 7.2</w:t>
      </w:r>
    </w:p>
    <w:p>
      <w:r>
        <w:t>L' art. 19 LDIP prevede che può essere tenuto conto di una norma di applicazione necessaria di un diritto diverso da quello richiamato dalla LDIP qualora, secondo la concezione giuridica svizzera, interessi degni di protezione e manifestamente preponderanti di una parte lo richiedano e la fattispecie sia strettamente connessa con tale diritto.</w:t>
      </w:r>
    </w:p>
    <w:p>
      <w:r>
        <w:t>L'argomentazione ricorsuale non tiene conto del fatto che la Corte cantonale ha ritenuto, con riferimento al preteso rischio di procedimenti e sanzioni di carattere penale e fiscale basate sul diritto italiano, che l'appello era inammissibile perché insufficientemente motivato. Come già osservato la ricorrente non contesta tale motivazione (sopra, consid. 5.2), ragione per cui non può nemmeno essere rimproverato alla Corte cantonale di non aver esaminato se si sarebbe dovuto tener conto del diritto straniero nell'ambito di un'eventuale applicazione dell' art. 19 LDIP (v. tuttavia sulla tematica: Romerio/Ivell, Barauszahlungen bei Verdacht auf Steuerdelikte, in Verhaltensregeln, SBT 2015-Schweizerische Bankenrechtstagung, pag. 169 segg.; Emmenegger/Good, Der Einfluss ausländischer (Steuer-) Regulierung auf die Bank/Kunden-Beziehung: Welche Rechte haben Abschleicher?, in Verhaltensregeln, SBT 2015-Schweizerische Bankenrechtstagung, pag. 45, 69; CARLO Lombardini, Banques et clients en situation fiscale irrégulière: un état des lieux, in Not@lex 2015, pag. 47).</w:t>
      </w:r>
    </w:p>
    <w:p>
      <w:r>
        <w:rPr>
          <w:b/>
        </w:rPr>
        <w:t>E. 8</w:t>
      </w:r>
    </w:p>
    <w:p>
      <w:r>
        <w:t>Da quanto precede discende che la Corte cantonale non ha violato il diritto federale ritenendo che la domanda dell'attore andava accolta nella procedura di tutela giurisdizionale nei casi manifesti. Infatti, in particolare alla luce del modo in cui sono state sollevate nella causa in esame, le obiezioni della ricorrente si rivelano inidonee a frustrare il diritto dell'opponente ad ottenere, alla fine della relazione bancaria, il pagamento a contanti dei suoi averi. Giova tuttavia aggiungere che ciò non significa che non siano ipotizzabili casi in cui una banca sollevi delle obiezioni che escludono la possibilità di decidere le richieste dei clienti nella procedura dell' art. 257 CPC . Il ricorso si rivela pertanto, nella ridotta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