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4A_168/2008 vom 11. Juni 2008</w:t>
      </w:r>
    </w:p>
    <w:p>
      <w:r>
        <w:t>Bundesgericht, 2008-06-11, FR</w:t>
      </w:r>
    </w:p>
    <w:p>
      <w:r>
        <w:rPr>
          <w:b/>
        </w:rPr>
        <w:t xml:space="preserve">Quelle: </w:t>
      </w:r>
      <w:r>
        <w:t>https://mcp.opencaselaw.ch/entscheid/bger_4A_168_2008</w:t>
      </w:r>
    </w:p>
    <w:p>
      <w:r>
        <w:t>FR: TF 4A_168/2008 du 11 juin 2008</w:t>
      </w:r>
    </w:p>
    <w:p>
      <w:r>
        <w:t>IT: TF 4A_168/2008 del 11 giugno 2008</w:t>
      </w:r>
    </w:p>
    <w:p>
      <w:pPr>
        <w:pStyle w:val="Heading2"/>
      </w:pPr>
      <w:r>
        <w:t>Erwägungen</w:t>
      </w:r>
    </w:p>
    <w:p>
      <w:r>
        <w:rPr>
          <w:b/>
        </w:rPr>
        <w:t>E. 1.1</w:t>
      </w:r>
    </w:p>
    <w:p>
      <w:r>
        <w:t>Interjeté par des parties qui ont succombé dans leurs conclusions prises devant l'autorité précédente et qui ont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recours en matière civile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d'autres motifs que ceux qui ont été invoqués et il peut rejeter un recours en adoptant une argumentation différente de celle de l'autorité précédente ( ATF 134 III 102 consid. 1.1; 133 IV 150 consid. 1.2 et la jurisprudence citée).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 ( ATF 134 III 102 consid. 1.1; 133 II 249 consid. 1.4.1; 133 IV 150 consid. 1.2).</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(Message du Conseil fédéral concernant la révision totale de l'organisation judiciaire fédérale, FF 2001 4135, ch. 4.1.4.2; cf. ATF 134 V 53 consid. 4.3; 133 II 249 consid. 1.4.3, 384 consid. 4.2.2) - ou en violation du droit au sens de l' art. 95 LTF ( art. 105 al. 2 LTF ), et pour autant que la correction du vice soit susceptible d'influer sur le sort de la cause ( art. 97 al. 1 LTF ).</w:t>
      </w:r>
    </w:p>
    <w:p>
      <w:r>
        <w:rPr>
          <w:b/>
        </w:rPr>
        <w:t>E. 2.1</w:t>
      </w:r>
    </w:p>
    <w:p>
      <w:r>
        <w:t>Dans le contrat de conseil en placements, le conseiller en placements conseille le client dans la gestion de sa fortune, mais ce dernier décide lui-même des opérations à effectuer (arrêt non publié 4C.72/1999 du 26 mai 1999, consid. 2a; Alessandro Bizzozero, Le contrat de gérance de fortune, thèse Fribourg 1992, p. 16-18). C'est essentiellement ce pouvoir décisionnel du client, à qui il appartient de prendre la décision définitive, qui distingue le contrat de conseil en placements du contrat de gestion de fortune, dans lequel le gérant de fortune - qui s'oblige à gérer, dans les termes de la convention, tout ou partie de la fortune du mandant - détermine lui-même les opérations boursières à effectuer, dans les limites fixées par le client (arrêt 4C.97/1997 du 29 octobre 1997, reproduit in SJ 1998 p. 200, consid. 3a; arrêts non publiés 4C.72/1999 du 26 mai 1999, consid. 2a; 4C.278/1996 du 25 février 1998, consid. 2a in limine; Bizzozero, op. cit., p. 18; Urs Emch/Pascal Montavon et al., Le monde et la pratique bancaires suisses, t. II, 1995, p. 247; Daniel Guggenheim, Les contrats de la pratique bancaire, 4e éd. 2000, p. 204; Claude Bretton-Chevallier, Le gérant de fortune indépendant, thèse Genève 2002, p. 72-74; Urs Bertschinger, Sorgfaltspflichten der Bank bei Anlageberatung und Verwaltungsaufträgen, thèse Zürich 1991, p. 5).</w:t>
      </w:r>
    </w:p>
    <w:p>
      <w:r>
        <w:rPr>
          <w:b/>
        </w:rPr>
        <w:t>E. 2.2</w:t>
      </w:r>
    </w:p>
    <w:p>
      <w:r>
        <w:t>Le client peut conclure par écrit avec sa banque - ou avec une société spécialisée vendant des conseils en matière de gestion de portefeuille (Bizzozero, op. cit., p. 16), les banques suisses proposant rarement de tels contrats (Guggenheim, op. cit., p. 206 note 11; Urs Philipp Roth, Aufklärungspflicht im Vermögensanlagegeschäft der Banken, in Banken und Bankrecht im Wandel, Festschrift für Beat Kleiner, Zürich 1993, p. 1 ss, p. 6 s. et 38) - un contrat de conseil en placements par lequel celle-ci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(Bizzozero, op. cit., p. 17 et les références citées; Guggenheim, op. cit., p. 206; Roth, op. cit., p. 6 s., 11 et 38). Il s'agit ici d'une participation active d'une banque ou d'un autre expert à la planification d'investissements et à leurs changements dans le temps (Bizzozero, op. cit., p. 17). L'obligation assumée par la banque, ou par un autre expert, de conseiller régulièrement le client se rapproche de l'obligation de gérer du contrat de gestion de fortune, dont il se distingue, comme on l'a vu (cf. consid. 2.1. supra), par le fait que c'est le client qui décide en dernière analyse des placements à effectuer (Bizzozero, op. cit., p. 17-18; cf. Bretton-Chevallier, op. cit., p. 73).</w:t>
      </w:r>
    </w:p>
    <w:p>
      <w:r>
        <w:rPr>
          <w:b/>
        </w:rPr>
        <w:t>E. 2.3</w:t>
      </w:r>
    </w:p>
    <w:p>
      <w:r>
        <w:t>Le contrat de conseil en placements, en tout cas en ce qui concerne les devoirs et la responsabilité du conseiller en placements, relève du mandat au sens des art. 394 ss CO (arrêt 4C. 27/2003 du 26 mai 2003, reproduit in SJ 2003 I p. 597, consid. 3.2.2; arrêt non publié 4C.278/1996 du 25 février 1998, consid. 2a; Guggenheim, op. cit., p. 208; Roth, op. cit., p. 11; Bretton-Chevallier, op. cit., p. 74 note 176), à l'instar du contrat de gestion de fortune ( ATF 132 III 460 consid. 4.1 in limine et les arrêts cités). Le mandataire doit exécuter avec soin la mission qui lui est confiée et sauvegarder fidèlement les intérêts légitimes de son cocontractant ( art. 321a al. 1 CO , applicable par renvoi de l' art. 398 al. 1 CO ); il est responsable envers son client de la bonne et fidèle exécution du mandat ( art. 398 al. 2 CO ).</w:t>
      </w:r>
    </w:p>
    <w:p>
      <w:r>
        <w:rPr>
          <w:b/>
        </w:rPr>
        <w:t>E. 2.4</w:t>
      </w:r>
    </w:p>
    <w:p>
      <w:r>
        <w:t>En tant que mandataire, le conseiller en placements est ainsi soumis aux devoirs de fidélité et de diligence (Bizzozero, op. cit., p. 18). Lorsqu'il s'est engagé contractuellement à conseiller régulièrement son client en suivant l'évolution de son portefeuille (cf. consid. 2.2 supra), il a l'obligation de rechercher des informations lui permettant d'évaluer les investissements envisagés ou en cours, ce qui implique notamment qu'il suive la presse spécialisée; ce devoir de s'informer se limite aux données importantes (Bizzozero, op. cit., p. 18 et p. 137-138). Le conseiller en placements assume un devoir étendu d'informer son client, en particulier sur les chances et les risques liés aux placements envisagés ( ATF 124 III 155 consid. 3a; 119 II 333 consid. 5a; 115 II 62 consid. 3a; arrêt non publié 4C.278/1996 du 25 février 1998, consid. 2a). L'information doit être exacte, compréhensible et complète (Carlo Lombardini, Droit et pratique de la gestion de fortune, 3e éd. 2003, n. 12 p. 148-149; Bretton-Chevallier, op. cit., p. 95; Roth, op. cit., p. 13; cf. ATF 115 II 62 consid. 3a p. 65). Le conseiller en placements ne saurait omettre de communiquer un élément objectivement important, mais qu'il estimerait lui-même sans importance (Lombardini, op. cit., n. 12 p. 149).</w:t>
      </w:r>
    </w:p>
    <w:p>
      <w:r>
        <w:rPr>
          <w:b/>
        </w:rPr>
        <w:t>E. 2.5</w:t>
      </w:r>
    </w:p>
    <w:p>
      <w:r>
        <w:t>En principe, la diligence requise s'apprécie au moyen de critères objectifs; on cherchera à déterminer comment un mandataire consciencieux, placé dans la même situation, aurait agi en gérant l'affaire en cause; les exigences seront plus sévères à l'égard du gérant qui exerce son mandat à titre professionnel, moyennant rémunération ( ATF 115 II 62 consid. 3a; arrêt 4C.97/1997 du 29 octobre 1997, reproduit in SJ 1998 p. 198, consid. 4a; Bizzozero, op. cit., p. 132). La diligence à observer par le mandataire ne se mesure pas toujours selon des critères objectifs; ainsi, il se peut également que les parties conviennent du degré de diligence que le mandataire doit mettre en oeuvre pour atteindre le résultat; tel est le cas lorsque les parties décident que le mandataire apportera aux affaires du mandant le même soin qu'à ses propres affaires (diligentia quam in suis; arrêt 4C.97/1997 du 29 octobre 1997, reproduit in SJ 1998 p. 198, consid. 4a et les auteurs cités; arrêt non publié C.267/1987 du 1er décembre 1987, consid. 1a; Bizzozero, op. cit., p. 133 et 188; Bretton-Chevallier, op. cit., p. 92).</w:t>
      </w:r>
    </w:p>
    <w:p>
      <w:r>
        <w:rPr>
          <w:b/>
        </w:rPr>
        <w:t>E. 2.6</w:t>
      </w:r>
    </w:p>
    <w:p>
      <w:r>
        <w:t>Si le mandant ne peut obtenir l'exécution de l'obligation ou ne peut l'obtenir qu'imparfaitement, le mandataire est tenu de réparer le dommage en résultant, à moins qu'il ne prouve qu'aucune faute ne lui est imputable ( art. 97 al. 1 CO ; ATF 128 III 22 consid. 2b; arrêt 4C.97/1997 du 29 octobre 1997, reproduit in SJ 1998 p. 198, consid. 4a). Ainsi, celui qui est lié à son client par un contrat de conseil en placements répond, en cas de mauvaise exécution, d'un éventuel dommage subi par le client sur la base des art. 97 al. 1 et 398 al. 2 CO (Guggenheim, op. cit., p. 208 et 210; cf. Bizzozero, op. cit., p. 172).</w:t>
      </w:r>
    </w:p>
    <w:p>
      <w:r>
        <w:rPr>
          <w:b/>
        </w:rPr>
        <w:t>E. 2.7</w:t>
      </w:r>
    </w:p>
    <w:p>
      <w:r>
        <w:t>Conformément aux règles générales de la responsabilité contractuelle et à l' art. 8 CC , il incombe au client d'apporter la preuve de la conclusion d'un contrat et de sa mauvaise exécution par le mandataire (Guggenheim, op. cit., p. 211; Lombardini, op. cit., n. 20 s. p. 150-151; Bizzozero, op. cit., p. 180; arrêt 4C.278/1996 du 25 février 1998, consid. 2c). Il lui incombe de même de prouver la relation de causalité entre la mauvaise exécution du contrat et le préjudice subi (Lombardini, op. cit., n. 20 p. 150; Bizzozero, op. cit., p. 180). Lorsque l'inexécution contractuelle consiste dans une omission de renseigner, le client doit démontrer que si son conseiller l'avait renseigné, il aurait selon toute vraisemblance pris une décision qui lui aurait permis d'éviter le dommage (Guggenheim, op. cit., p. 211; Bretton-Chevallier, op. cit., p. 199 s.; ATF 124 III 155 consid. 3d p. 165).</w:t>
      </w:r>
    </w:p>
    <w:p>
      <w:r>
        <w:rPr>
          <w:b/>
        </w:rPr>
        <w:t>E. 3</w:t>
      </w:r>
    </w:p>
    <w:p>
      <w:r>
        <w:t>Les recourants reprochent à l'autorité précédente d'avoir violé l' art. 398 al. 2 CO pour n'avoir pas retenu que l'intimée avait manqué à son obligation de diligence à trois égards: d'une part en leur conseillant, en juillet 2000, d'investir dans le fonds V.________ sans les informer des critiques dont ce fonds avait fait l'objet par voie de presse en octobre 1998 (cf. consid. 3.1 infra), et en dépit du fait que la structure de ce fonds était déséquilibrée et que l'intimée avait conseillé à certains de ses clients de revendre leurs parts du fonds V.________ entre 1998 et 2000 (cf. consid. 3.2 infra); d'autre part en ne leur conseillant pas, en mars 2002, de vendre la totalité de leurs parts du fonds V.________, alors que ce conseil avait été donné à d'autres clients dès l'année 1999 (cf. consid. 3.3 infra). Ils font en outre grief à la cour cantonale d'avoir fait preuve d'arbitraire dans l'appréciation des preuves et l'application du droit cantonal de procédure en relation avec une requête de production de pièces qu'ils avaient formulée devant le premier juge (cf. consid. 3.4 infra), ainsi que d'avoir retenu inexactement qu'il ne ressortait pas du dossier qu'ils aient suivi la recommandation faite par l'intimée le 13 septembre 2002 de vendre le solde de leurs parts dans le fonds V.________ (cf. consid. 3.5 infra). Enfin, ils reprochent à la Cour de justice d'avoir violé l' art. 394 al. 3 CO en ne déniant pas à l'intimée tout droit à sa rémunération contractuelle (cf. consid. 3.6 infra). Il convient d'examiner ces différents griefs ci-après.</w:t>
      </w:r>
    </w:p>
    <w:p>
      <w:r>
        <w:rPr>
          <w:b/>
        </w:rPr>
        <w:t>E. 3.1</w:t>
      </w:r>
    </w:p>
    <w:p>
      <w:r>
        <w:t>Les recourants soutiennent d'abord que l'intimée, lorsqu'elle leur a conseillé en juillet 2000 d'acheter des parts du fonds V.________, aurait dû, en vertu de son devoir d'information, les informer de l'article de presse négatif d'octobre 1998, qu'elle connaissait, et leur en envoyer une copie, ce qui les aurait dissuadés d'investir dans ce fonds.</w:t>
      </w:r>
    </w:p>
    <w:p>
      <w:r>
        <w:t>La cour cantonale a retenu en fait qu'aux dires même de l'auteur de l'article de presse d'octobre 1998 - B.________ - qui avait été entendu comme témoin par le Tribunal de première instance, cet article était resté sans effet sur les autorités et les milieux financiers, contrairement aux trois articles qu'il avait écrits entre septembre 2002 et janvier 2003; la valeur du fonds avait plus que doublé entre la publication de l'article et le 31 décembre 1999. Les juges cantonaux ont en outre constaté que les compétences de l'animateur du fonds V.________ avaient été soulignées dans un ouvrage destiné aux investisseurs paru en 2001, que l'audit financier de PriceWaterhouseCoopers établi le 29 mai 2002 ne permettait pas d'anticiper la chute des valeurs du fonds survenue une année plus tard et, enfin, que d'autres gérants de fortune avaient recommandé ce fonds à leurs clients jusqu'au milieu de l'année 2002.</w:t>
      </w:r>
    </w:p>
    <w:p>
      <w:r>
        <w:t>Sur le vu des faits ainsi constatés par la cour cantonale, qui lient le Tribunal fédéral (cf. consid. 1.3 supra), il n'est pas établi que le devoir d'information de l'intimée à l'égard des recourants lui aurait imposé, lorsqu'elle leur a conseillé d'investir dans le fonds V.________ en juillet 2000, de leur mentionner l'existence de l'article de presse paru en octobre 1998. En effet, l'existence de cet article, dès lors que celui-ci était paru près de deux ans auparavant et qu'il était demeuré totalement isolé et sans effet sur la communauté des investisseurs et sur l'organe de surveillance du marché boursier, qui n'est intervenu qu'en juillet 2003, ne constituait pas, en juillet 2000, un élément objectivement important que l'intimée aurait eu le devoir de communiquer à ses mandants (cf. consid. 2.4 supra). L'intimée ne saurait ainsi se voir reprocher une mauvaise exécution du contrat pour n'avoir pas informé les recourants de l'existence de cet article. Au surplus, il n'est pas démontré que les recourants, s'ils en avaient eu connaissance, n'auraient selon toute vraisemblance pas investi dans le fonds V.________, alors que l'article publié près de deux ans auparavant était demeuré totalement isolé et sans effet et que la valeur du fonds avait continué de fortement progresser dans l'intervalle (cf. consid. 2.7 supra).</w:t>
      </w:r>
    </w:p>
    <w:p>
      <w:r>
        <w:rPr>
          <w:b/>
        </w:rPr>
        <w:t>E. 3.2</w:t>
      </w:r>
    </w:p>
    <w:p>
      <w:r>
        <w:t>Les recourants font ensuite valoir que la structure déséquilibrée du fonds V.________ avait conduit D.________, chargé chez Y.________ SA de l'analyse du fonds V.________, à conseiller en juin 1999 à ses clients de réduire leurs participations dans ce fonds, de sorte que l'intimée aurait violé son devoir de diligence en recommandant aux recourants d'acheter des parts du fonds V.________ en juillet 2000.</w:t>
      </w:r>
    </w:p>
    <w:p>
      <w:r>
        <w:t>Selon les constatations de fait de l'arrêt entrepris, un ancien employé de Y.________ SA (D.________) a déclaré lors de son audition comme témoin par le premier juge avoir conseillé en juin 1999 à ses clients - parmi lesquels les recourants ne figuraient pas - de vendre ou de réduire leurs participations au fonds V.________, par souci d'éviter de trop fortes concentrations d'investissements dans une société spécifique et parce qu'il lui semblait qu'au-delà de USD 200 Mio d'actifs sous gestion, la taille du fonds était devenue trop importante. La cour cantonale a ainsi retenu que le conseil de vendre ou de réduire ne relevait pas d'une position de principe adoptée par l'intimée à l'égard du fonds V.________, mais correspondait à des spécificités structurelles ainsi qu'à la sensibilité du gérant à l'égard du volume d'actifs sous gestion du fonds, de sorte que l'intimée pouvait conseiller aux recourants, en juillet 2000, d'investir dans le fonds V.________ sans pour autant violer ses obligations.</w:t>
      </w:r>
    </w:p>
    <w:p>
      <w:r>
        <w:t>On ne discerne pas là de violation du droit fédéral. Le fait qu'un employé de l'intimée ait conseillé à ses propres clients en juin 1999 de vendre ou de réduire leurs participations au fonds V.________ parce que, dans son opinion personnelle, il convenait d'éviter d'investir des montants trop importants dans une société spécifique et que les actifs sous gestion du fonds était devenus trop importants ne démontre nullement que l'intimée aurait violé son devoir de diligence en conseillant aux recourants, en juillet 2000, d'investir dans le fonds V.________.</w:t>
      </w:r>
    </w:p>
    <w:p>
      <w:r>
        <w:rPr>
          <w:b/>
        </w:rPr>
        <w:t>E. 3.3</w:t>
      </w:r>
    </w:p>
    <w:p>
      <w:r>
        <w:t>Les recourants estiment que pour les mêmes motifs qui auraient dû la conduire à ne pas leur proposer en juillet 2000 d'investir dans le fonds V.________, l'intimée aurait dû leur recommander en mars 2002 de se désinvestir complètement de ce fonds, au lieu de leur conseiller de revendre seulement la moitié de leurs parts.</w:t>
      </w:r>
    </w:p>
    <w:p>
      <w:r>
        <w:t>Cet argument tombe à faux. En effet, si l'intimée pouvait recommander en juillet 2000 aux recourants d'investir dans le fonds V.________ sans violer son devoir de diligence, on ne voit pas pourquoi, en l'absence d'éléments nouveaux, elle aurait dû leur recommander en mars 2002 de se désinvestir complètement de ce fonds. On ignore au demeurant pour quels motifs les recourants - dont la cour cantonale a retenu qu'ils avaient « vraisemblablement » agi sur le conseil de l'intimée, sans que ce fait soit établi - ont donné l'ordre en mars 2002 à leur banque de vendre la moitié de leurs parts dans le fonds V.________. Or un tel ordre pouvait avoir toutes sortes de motifs - diversification des placements, opportunités de réinvestissements dans d'autres véhicules de placement, prise de bénéfices, etc. - et le seul fait que les parts de ce fonds de placement aient subséquemment perdu toute valeur ensuite d'événements survenus dès septembre 2002, que l'intimée n'avait aucun moyen d'anticiper, ne constitue aucunement la démonstration d'une violation par l'intimée de son devoir de diligence en mars 2002.</w:t>
      </w:r>
    </w:p>
    <w:p>
      <w:r>
        <w:rPr>
          <w:b/>
        </w:rPr>
        <w:t>E. 3.4</w:t>
      </w:r>
    </w:p>
    <w:p>
      <w:r>
        <w:t>Il ressort de l'arrêt attaqué qu'à la suite d'une requête en production de pièces formulée par les recourants, le Tribunal de première instance a ordonné à l'intimée de produire tous documents relatifs à sa surveillance et à ses relations avec le fonds V.________, aux achats et ventes de parts de ce fonds auxquels elle avait procédé pour ses clients pendant les années 1999 et 2000, ainsi qu'aux recommandations qu'elle avait faites à ses clients durant ces mêmes années d'acquérir ou de vendre de telles parts. L'intimée, qui s'était en vain opposée à la requête, a informé le Tribunal qu'elle n'avait procédé à aucun achat ni vente de parts du fonds V.________ pour ses clients et ne leur avait pas fait de recommandations dans ce sens durant cette période.</w:t>
      </w:r>
    </w:p>
    <w:p>
      <w:r>
        <w:t>Se plaignant d'arbitraire ( art. 9 Cst. ) dans l'appréciation des preuves et dans l'application du droit cantonal de procédure ( art. 186 al. 2 LPC /GE), les recourants reprochent à l'autorité précédente de n'avoir arbitrairement pas tenu compte du comportement contradictoire de l'intimée, qui s'était opposée avec la plus grande énergie à la requête en production de pièces avant de prétendre qu'elle ne disposait pas de la moindre pièce. Selon les recourants, il ne ferait pas de doute que l'intimée a des pièces à cacher susceptibles d'influer sur le sort de la cause; ce serait dès lors de façon insoutenable que la Cour de justice n'a tenu aucun compte de ce refus et n'a pas tenu pour avérée la violation par l'intimée de son obligation de diligence en relation avec le fonds V.________.</w:t>
      </w:r>
    </w:p>
    <w:p>
      <w:r>
        <w:t>Ce grief est mal fondé. Selon l' art. 186 al. 2 LPC /GE, le juge peut ordonner à la partie qui détient une pièce utile à la solution du litige de la produire, même si le fardeau de la preuve ne lui incombe pas; en cas de refus sans motif légitime, le fait allégué par la partie adverse peut être tenu pour avéré. En l'espèce, il appert que l'intimée s'est opposée devant le premier juge à la requête en production de pièces déposée le 22 juin 2006 par les recourants en soutenant que cette requête constituait en réalité une écriture assortie de nombreuses conditions et consacrait une violation grave des principes de procédure civile. Par jugement sur incident du 19 octobre 2006, le premier juge n'a que partiellement admis la requête en production de pièces. Donnant suite à ce jugement sur incident, l'intimée a informé le Tribunal, le 30 novembre 2006, qu'elle n'avait procédé à aucun achat ni vente de parts du fonds V.________ pour ses clients et ne leur avait pas fait de recommandations dans ce sens pendant les années 1999 à 2000; elle a précisé qu'il n'existait pas ou plus de documents écrits ni de notes, telles que notes d'entretien, de rapports, qui auraient été conservés par Y.________ SA, tel n'étant pas l'usage. Dans ces conditions, et faute d'éléments permettant de conclure, comme le soutiennent les recourants, que l'intimée cacherait délibérément des pièces susceptibles d'influer sur le sort de la cause et refuserait donc de les produire sans motif légitime, on ne saurait faire grief à l'autorité précédente d'avoir violé arbitrairement l' art. 186 al. 2 LPC /GE et apprécié arbitrairement les preuves en ne tenant pas pour avérée, sur la seule base de l'absence de production des pièces requises, la violation par l'intimée de son obligation de diligence en relation avec le fonds V.________.</w:t>
      </w:r>
    </w:p>
    <w:p>
      <w:r>
        <w:rPr>
          <w:b/>
        </w:rPr>
        <w:t>E. 3.5</w:t>
      </w:r>
    </w:p>
    <w:p>
      <w:r>
        <w:t>Les recourants reprochent à l'autorité cantonale d'avoir établi les faits de manière manifestement inexacte, au sens des art. 97 al. 1 et 105 al. 2 LTF, en retenant, sans doute par inadvertance, qu'il ne ressortait pas du dossier qu'ils aient suivi la recommandation faite par l'intimée le 13 septembre 2002 de vendre le solde de leurs parts dans le fonds V.________. Ils font valoir que l'intimée a elle-même reconnu dans son mémoire de réponse et demande reconventionnelle du 21 octobre 2004 que les recourants avaient aussitôt suivi le conseil dispensé le 13 septembre 2002 et demandé le remboursement du solde de leurs parts. Ils n'y étaient pas parvenus car, en septembre 2002, les parts ne pouvaient plus être vendues, de sorte qu'ils ont toujours dans leur portefeuille 300 parts du fonds V.________, qui n'ont plus aucune valeur à ce jour.</w:t>
      </w:r>
    </w:p>
    <w:p>
      <w:r>
        <w:t>La rectification d'une constatation de fait manifestement inexacte présuppose, conformément à l' art. 97 al. 1 LTF , que la correction du vice soit susceptible d'influer sur le sort de la cause (cf. consid. 1.3 supra). Or en l'occurrence, que les recourants aient suivi ou non la recommandation que leur a faite l'intimée le 13 septembre 2002 est sans incidence sur l'issue du litige, puisque l'intimée, qui a averti les recourants immédiatement après la publication de l'article de B.________ paru le 10 septembre 2002 dans le New York Post, ne peut se voir reprocher aucune mauvaise exécution du contrat de conseil en placements qui la liait aux recourants.</w:t>
      </w:r>
    </w:p>
    <w:p>
      <w:r>
        <w:rPr>
          <w:b/>
        </w:rPr>
        <w:t>E. 3.6</w:t>
      </w:r>
    </w:p>
    <w:p>
      <w:r>
        <w:t>Les recourants reprochent enfin à la cour cantonale d'avoir fait une mauvaise application de l' art. 394 al. 3 CO , qui serait la conséquence de la fausse application de l' art. 398 al. 2 CO : l'intimée aurait en effet violé ses obligations de mandataire, ce qui aurait pour conséquence qu'elle n'a pas droit à ses honoraires.</w:t>
      </w:r>
    </w:p>
    <w:p>
      <w:r>
        <w:t>Une rémunération est due au mandataire si la convention ou l'usage lui en assure une ( art. 394 al. 3 CO ). La doctrine et la jurisprudence admettent qu'indépendamment d'une éventuelle action en dommages-intérêts, l'inexécution ou la mauvaise exécution du mandat peut être sanctionnée par une réduction des honoraires du mandataire, voire par la perte de tout droit à la rémunération dans le cas où l'exécution défectueuse du mandat est assimilable à une totale inexécution ou lorsque la rémunération du mandataire est elle-même constitutive du dommage causé par l'exécution défectueuse ( ATF 124 III 423 consid. 3b; Bretton-Chevallier, op. cit., p. 205 et les références citées).</w:t>
      </w:r>
    </w:p>
    <w:p>
      <w:r>
        <w:t>En l'espèce, comme l'intimée ne peut se voir reprocher aucune mauvaise exécution du contrat, il n'y a pas lieu de procéder à une réduction des honoraires qui lui sont dus selon la convention des parties.</w:t>
      </w:r>
    </w:p>
    <w:p>
      <w:r>
        <w:rPr>
          <w:b/>
        </w:rPr>
        <w:t>E. 4</w:t>
      </w:r>
    </w:p>
    <w:p>
      <w:r>
        <w:t>Il résulte de ce qui précède que le recours, mal fondé, doit être rejeté. Les recourants, qui succombent, supporteront les frais judiciaires, solidairement entre eux ( art. 66 al. 1 et 5 LTF ), et verseront à l'intimée une indemnité à titre de dépens, toujours solidairement entre eux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