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4A_167/2025 vom 19. Mai 2025</w:t>
      </w:r>
    </w:p>
    <w:p>
      <w:r>
        <w:t>Bundesgericht, 2025-05-19, DE</w:t>
      </w:r>
    </w:p>
    <w:p>
      <w:r>
        <w:rPr>
          <w:b/>
        </w:rPr>
        <w:t xml:space="preserve">Quelle: </w:t>
      </w:r>
      <w:r>
        <w:t>https://mcp.opencaselaw.ch/entscheid/bger_4A_167_2025</w:t>
      </w:r>
    </w:p>
    <w:p>
      <w:r>
        <w:t>FR: TF 4A_167/2025 du 19 mai 2025</w:t>
      </w:r>
    </w:p>
    <w:p>
      <w:r>
        <w:t>IT: TF 4A_167/2025 del 19 maggio 2025</w:t>
      </w:r>
    </w:p>
    <w:p>
      <w:pPr>
        <w:pStyle w:val="Heading2"/>
      </w:pPr>
      <w:r>
        <w:t>Erwägungen</w:t>
      </w:r>
    </w:p>
    <w:p>
      <w:r>
        <w:rPr>
          <w:b/>
        </w:rPr>
        <w:t>E. 1</w:t>
      </w:r>
    </w:p>
    <w:p>
      <w:r>
        <w:t>Der Beschwerdeführer mietete von D.________ Geschäftsräume an der (...) in der Gemeinde (...). Nach einem Eigentümerwechsel kündigte der Beschwerdegegner das Mietverhältnis per 31. Januar 2025 wegen Eigenbedarfs. Der Beschwerdeführer reichte am 20. August 2024 bei der Schlichtungsbehörde für Miete und Pacht des Bezirks Zofingen ein Schlichtungsgesuch gegen den Beschwerdegegner ein. Darin beantragte er unter anderem die Aufhebung der Kündigung sowie die Erstreckung des Mietverhältnisses bis Ende Januar 2029. In der Folge wurden die Parteien auf den 14. Oktober 2024 zur Schlichtungsverhandlung vorgeladen. Zu diesem Termin erschienen der Beschwerdegegner in Begleitung von Fürsprecher Roland Jeitziner und der unvertretene Beschwerdeführer. Zur Wahrung der Waffengleichheit setzte die Schlichtungsbehörde dem Beschwerdeführer eine Frist von 10 Tagen an, um auch einen Rechtsanwalt zu bezeichnen. Danach sollten die Parteien erneut zu einer Schlichtungsverhandlung vorgeladen werden. Mit Eingabe vom 4. November 2024 ersuchte der Beschwerdeführer um Erstreckung dieser Frist um 20 Tage. Die Schlichtungsbehörde wies sein Gesuch mit Verfügung vom 7. November 2024 ab. In der Folge wurden die Parteien auf den 25. November 2024 zu einer neuen Schlichtungsverhandlung vorgeladen. Da der Beschwerdeführer diesem Termin fernblieb, schrieb die Schlichtungsbehörde das Verfahren als infolge Säumnis gegenstandslos geworden ab. Am 20. Januar 2025 ersuchte der Beschwerdeführer die Schlichtungsbehörde um Wiederherstellung bzw. um Ansetzung einer neuen Schlichtungsverhandlung. Mit Entscheid vom 23. Januar 2025 wies die Schlichtungsbehörde dieses Gesuch ab.</w:t>
      </w:r>
    </w:p>
    <w:p>
      <w:r>
        <w:rPr>
          <w:b/>
        </w:rPr>
        <w:t>E. 2</w:t>
      </w:r>
    </w:p>
    <w:p>
      <w:r>
        <w:t>Am 7. Februar 2025 beantragte der Beschwerdeführer dem Obergericht des Kantons Aargau, die Schlichtungsverhandlung sei neu anzusetzen, die Kündigung sei abzuweisen oder das Mietverhältnis sei um fünf Jahre zu erstrecken. Am 11. Februar 2025 stellte der Beschwerdeführer sodann den Antrag, seinem Rechtsmittel sei die aufschiebende Wirkung zu erteilen. Mit Entscheid vom 14. Februar 2025 trat das Obergericht auf das Rechtsmittel des Beschwerdeführers nicht ein (Verfahren ZVE.2025.7).</w:t>
      </w:r>
    </w:p>
    <w:p>
      <w:r>
        <w:rPr>
          <w:b/>
        </w:rPr>
        <w:t>E. 3</w:t>
      </w:r>
    </w:p>
    <w:p>
      <w:r>
        <w:t>Mit Beschwerde in Zivilsachen beantragt der Beschwerdeführer dem Bundesgericht, es sei der Entscheid des Obergerichts des Kantons Aargau vom 14. Februar 2025 aufzuheben. Weiter sei die Schlichtungsverhandlung neu anzusetzen. Und schliesslich sei die Kündigung des Mietverhältnisses abzuweisen oder das Mietverhältnis um fünf Jahre zu erstrecken. Es wurden keine Vernehmlassungen eingeholt.</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Die Beschwerde genügt diesen Begründungsanforderungen offensichtlich nicht, weshalb darauf nicht einzutreten ist (Art. 108 Abs. 1 lit. b i.V.m. Abs. 3 BGG).</w:t>
      </w:r>
    </w:p>
    <w:p>
      <w:r>
        <w:rPr>
          <w:b/>
        </w:rPr>
        <w:t>E. 5</w:t>
      </w:r>
    </w:p>
    <w:p>
      <w:r>
        <w:t>Der Beschwerdeführer wird bei diesem Verfahrensausgang kostenpflichtig ( Art. 66 Abs. 1 BGG ). Der Beschwerdegegner hat keinen Anspruch auf eine Parteientschädigung,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