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166/2019 vom 3. Juli 2019</w:t>
      </w:r>
    </w:p>
    <w:p>
      <w:r>
        <w:t>Bundesgericht, 2019-07-03, FR</w:t>
      </w:r>
    </w:p>
    <w:p>
      <w:r>
        <w:rPr>
          <w:b/>
        </w:rPr>
        <w:t xml:space="preserve">Quelle: </w:t>
      </w:r>
      <w:r>
        <w:t>https://mcp.opencaselaw.ch/entscheid/bger_4A_166_2019</w:t>
      </w:r>
    </w:p>
    <w:p>
      <w:r>
        <w:t>FR: TF 4A 166/2019 du 3 juillet 2019</w:t>
      </w:r>
    </w:p>
    <w:p>
      <w:r>
        <w:t>IT: TF 4A 166/2019 del 3 luglio 2019</w:t>
      </w:r>
    </w:p>
    <w:p>
      <w:pPr>
        <w:pStyle w:val="Heading2"/>
      </w:pPr>
      <w:r>
        <w:t>Regeste</w:t>
      </w:r>
    </w:p>
    <w:p>
      <w:r>
        <w:t>contrat de bail; retrait du recours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4A_166/2019 est rayée du rôle par suite de retrait du recours.</w:t>
      </w:r>
    </w:p>
    <w:p>
      <w:r>
        <w:rPr>
          <w:b/>
        </w:rPr>
        <w:t>E. 2</w:t>
      </w:r>
    </w:p>
    <w:p>
      <w:r>
        <w:t>Les frais judiciaires, arrêtés à 300 fr., sont mis à la charge de la recourante.</w:t>
      </w:r>
    </w:p>
    <w:p>
      <w:r>
        <w:rPr>
          <w:b/>
        </w:rPr>
        <w:t>E. 3</w:t>
      </w:r>
    </w:p>
    <w:p>
      <w:r>
        <w:t>La recourante versera à l'intimé une indemnité de 5'000 fr. à titre de dépens.</w:t>
      </w:r>
    </w:p>
    <w:p>
      <w:r>
        <w:rPr>
          <w:b/>
        </w:rPr>
        <w:t>E. 4</w:t>
      </w:r>
    </w:p>
    <w:p>
      <w:r>
        <w:t>La présente ordonnance est communiquée aux parties et à la Cour de justice du canton de Genève, Chambre des baux et loyers. Lausanne, le 3 juillet 2019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