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4A_166/2014 vom 16. September 2014</w:t>
      </w:r>
    </w:p>
    <w:p>
      <w:r>
        <w:t>Bundesgericht, 2014-09-16, FR</w:t>
      </w:r>
    </w:p>
    <w:p>
      <w:r>
        <w:rPr>
          <w:b/>
        </w:rPr>
        <w:t xml:space="preserve">Quelle: </w:t>
      </w:r>
      <w:r>
        <w:t>https://mcp.opencaselaw.ch/entscheid/bger_4A_166_2014</w:t>
      </w:r>
    </w:p>
    <w:p>
      <w:r>
        <w:t>FR: TF 4A_166/2014 du 16 septembre 2014</w:t>
      </w:r>
    </w:p>
    <w:p>
      <w:r>
        <w:t>IT: TF 4A_166/2014 del 16 settembre 2014</w:t>
      </w:r>
    </w:p>
    <w:p>
      <w:pPr>
        <w:pStyle w:val="Heading2"/>
      </w:pPr>
      <w:r>
        <w:t>Erwägungen</w:t>
      </w:r>
    </w:p>
    <w:p>
      <w:r>
        <w:rPr>
          <w:b/>
        </w:rPr>
        <w:t>E. 1.1</w:t>
      </w:r>
    </w:p>
    <w:p>
      <w:r>
        <w:t>Interjeté par la partie qui a succombé dans ses conclusions en paiement et a donc qualité pour recourir ( art. 76 al. 1 LTF ), le recours est dirigé contre une décision finale ( art. 90 LTF ) rendue en matière civile ( art. 72 al. 1 LTF ) par une autorité cantonale de dernière instance ( art. 75 LTF ). Au surplus, portant sur une affaire pécuniaire dont la valeur litigieuse atteint le seuil de 30'000 fr. ( art. 74 al. 1 let. b LTF ), le recours en matière civile est en principe recevable puisqu'il a été déposé en temps utile ( art. 100 al. 1 LTF ) et dans les formes prévues par la loi ( art. 42 LTF ).</w:t>
      </w:r>
    </w:p>
    <w:p>
      <w:r>
        <w:rPr>
          <w:b/>
        </w:rPr>
        <w:t>E. 1.2</w:t>
      </w:r>
    </w:p>
    <w:p>
      <w:r>
        <w:t>Le recours peut être interjeté pour violation du droit, tel qu'il est délimité par les art. 95 et 96 LTF . Le Tribunal fédéral applique le droit d'office ( art. 106 al. 1 LTF ). Cependant, compte tenu de l'exigence de motivation contenue à l' art. 42 al. 1 et 2 LTF , à respecter sous peine d'irrecevabilité ( art. 108 al. 1 let. b LTF ), il n'examine que les questions juridiques qui sont soulevées devant lui; il n'est pas tenu de traiter, comme le ferait une autorité de première instance, toutes les questions juridiques qui se posent, lorsque celles-ci ne sont plus discutées devant lui ( ATF 140 III 86 consid. 2 p. 88 s.; 137 III 580 consid. 1.3 p. 584; 135 II 384 consid. 2.2.1 p. 389; 135 III 397 consid. 1.4 p. 400). Dès lors qu'une question est discutée, le Tribunal fédéral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4 p. 317 s.; 135 III 397 consid. 1.4 p. 400).</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w:t>
      </w:r>
    </w:p>
    <w:p>
      <w:r>
        <w:rPr>
          <w:b/>
        </w:rPr>
        <w:t>E. 2</w:t>
      </w:r>
    </w:p>
    <w:p>
      <w:r>
        <w:t>Est litigieux le point de savoir si l'assureur pouvait refuser toute prestation au recourant en se fondant sur l' art. 8 let . f CGA.</w:t>
      </w:r>
    </w:p>
    <w:p>
      <w:r>
        <w:rPr>
          <w:b/>
        </w:rPr>
        <w:t>E. 2.1</w:t>
      </w:r>
    </w:p>
    <w:p>
      <w:r>
        <w:t>Invoquant la règle de la clause insolite, le recourant remet en cause la validité de la clause d'exclusion contenue à l' art. 8 let . f CGA. Cette dernière créerait une surprise chez l'assuré, lequel ne pourrait s'attendre à ce que les prestations d'une assurance-accidents soient exclues pour un motif d'intérêt public - en particulier la sécurité en matière de circulation routière - sans lien avec le caractère essentiel du contrat, qui consiste à accorder à l'assuré une protection financière en cas d'atteinte à sa propre intégrité corporelle.</w:t>
      </w:r>
    </w:p>
    <w:p>
      <w:r>
        <w:rPr>
          <w:b/>
        </w:rPr>
        <w:t>E. 2.1.1</w:t>
      </w:r>
    </w:p>
    <w:p>
      <w:r>
        <w:t>Selon la règle dite de l'insolite (</w:t>
      </w:r>
    </w:p>
    <w:p>
      <w:r>
        <w:t>Ungewöhnlichkeitsregel ), sont soustraites de l'adhésion censée donnée globalement à des conditions générales toutes les clauses inhabituelles, sur l'existence desquelles l'attention de la partie la plus faible ou la moins expérimentée en affaires n'a pas été spécialement attirée. Pour déterminer si une clause est insolite, il faut se placer du point de vue de celui qui y consent, au moment de la conclusion du contrat. En plus de ce critère subjectif, il faut que, par son objet, la clause considérée soit étrangère à l'affaire, c'est-à-dire qu'elle en modifie de manière essentielle la nature ou sorte notablement du cadre légal d'un type de contrat ( ATF 138 III 411 consid. 3.1 p. 412 s.; 135 III 1 consid. 2.1 p. 7; 119 II 443 consid. 1a p. 446).</w:t>
      </w:r>
    </w:p>
    <w:p>
      <w:r>
        <w:rPr>
          <w:b/>
        </w:rPr>
        <w:t>E. 2.1.2</w:t>
      </w:r>
    </w:p>
    <w:p>
      <w:r>
        <w:t>En vertu de l' art. 33 LCA relatif à l'étendue du risque, le contrat peut exclure de l'assurance certains événements d'une manière précise, non équivoque, quand bien même ils présentent le caractère du risque contre les conséquences duquel l'assurance a été conclue. En l'occurrence, l'art. 8 CGA exclut de l'assurance-accidents les accidents survenant dans certaines circonstances, décrites sous let. a à j. Il s'agit là d'exclusions proprement dites; elles concernent en général des risques très élevés que l'assureur ne veut pas garantir parce qu'il n'entend pas les inclure dans le calcul des primes à la charge de l'ensemble des assurés. Parmi les exclusions proprement dites rencontrées habituellement dans l'assurance-accidents privée, il y a précisément l'accident qui survient lors de la commission de crimes ou de délits ou lors de la tentative de telles infractions (Roland Brehm, L'assurance privée contre les accidents, 2001, p. 75 ss; Stephan Fuhrer, in Basler Kommentar, Bundesgesetz über den Versicherungsvertrag [VVG], 2001, n° 149 ad art. 33). En excluant de l'assurance les accidents résultant de crimes ou de délits commis intentionnellement par l'assuré, l' art. 8 let . f CGA n'est manifestement pas étranger au contrat en cause, de sorte qu'il ne saurait être qualifié de clause insolite.</w:t>
      </w:r>
    </w:p>
    <w:p>
      <w:r>
        <w:t>Autre est la question - examinée plus loin - de savoir si l'infraction routière dont le recourant s'est rendu coupable est un délit commis intentionnellement au sens de l' art. 8 let . f CGA.</w:t>
      </w:r>
    </w:p>
    <w:p>
      <w:r>
        <w:rPr>
          <w:b/>
        </w:rPr>
        <w:t>E. 2.2</w:t>
      </w:r>
    </w:p>
    <w:p>
      <w:r>
        <w:t>Le recourant est également d'avis que la cour cantonale a violé l' art. 33 LCA en ne reconnaissant pas le caractère peu clair et ambigu de l' art. 8 let . f CGA mis en parallèle avec l'art. 9.1 let. b CGA, lequel prévoit une renonciation de l'assureur à réduire ses prestations en cas de faute grave. A la lecture de ces deux dispositions, l'assuré moyen ne pourrait pas comprendre que les prestations d'assurance seront versées intégralement s'il commet une faute grave en matière de circulation routière, mais refusées en cas de faute très grave, selon l'interprétation des dispositions précitées par l'autorité précédente. Par ailleurs, en refusant de couvrir les suites d'un accident de circulation provoqué par la témérité de l'assuré, l'assureur accidents adopterait une attitude incompréhensible et, partant, ambiguë si, parallèlement, il accepte de fournir de pleines prestations à l'assuré victime d'un accident lors d'autres activités téméraires.</w:t>
      </w:r>
    </w:p>
    <w:p>
      <w:r>
        <w:rPr>
          <w:b/>
        </w:rPr>
        <w:t>E. 2.2.1</w:t>
      </w:r>
    </w:p>
    <w:p>
      <w:r>
        <w:t>Les conditions générales d'assurance qui ont été expressément incorporées au contrat doivent être interprétées selon les mêmes principes juridiques que les autres dispositions contractuelles ( ATF 135 III 1 consid. 2 p. 6; 133 III 675 consid. 3.3 p. 681).</w:t>
      </w:r>
    </w:p>
    <w:p>
      <w:r>
        <w:t>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lie en principe le Tribunal fédéral conformément à l' art. 105 LTF .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 ATF 136 III 186 consid. 3.2.1 p. 188; 135 III 295 consid. 5.2). L'application du principe de la confiance est une question de droit que le Tribunal peut examiner librement ( art. 106 al. 1 LTF ); cependant, pour trancher cette question, il doit se fonder sur le contenu de la manifestation de volonté et sur les circonstances, dont la constatation relève du fait ( ATF 135 III 410 consid. 3.2 p. 412 s.).</w:t>
      </w:r>
    </w:p>
    <w:p>
      <w:r>
        <w:t>Lorsque l'assureur, au moment de conclure, présente des conditions générales, il manifeste la volonté de s'engager selon les termes de ces conditions. Si 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elle ne correspond pas à la volonté intime de l'assureur. Dans le domaine particulier du contrat d'assurance, l' 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peut le comprendre de bonne foi à la lecture du contrat et des conditions générales incorporées à celui-ci. Si l'assureur entend apporter des restrictions ou des exceptions, il lui incombe de le dire clairement. Conformément au principe de la confiance, c'est à l'assureur qu'il appartient de délimiter la portée de l'engagement qu'il entend prendre et le preneur n'a pas à supposer des restrictions qui ne lui ont pas été clairement présentées ( ATF 133 III 675 consid. 3.3 p. 682; cf. également ATF 135 III 410 consid. 3.2 p. 413).</w:t>
      </w:r>
    </w:p>
    <w:p>
      <w:r>
        <w:rPr>
          <w:b/>
        </w:rPr>
        <w:t>E. 2.2.2</w:t>
      </w:r>
    </w:p>
    <w:p>
      <w:r>
        <w:t>La notion de "crime ou délit commis intentionnellement" contenue à l' art. 8 let . f CGA doit être interprétée selon le principe de la confiance.</w:t>
      </w:r>
    </w:p>
    <w:p>
      <w:r>
        <w:t>Le Tribunal fédéral a déjà eu l'occasion de préciser que cette notion insérée dans une clause d'exclusion ne correspondait pas nécessairement à sa définition juridique, mais devait être comprise par le preneur d'assurance comme une infraction d'une certaine gravité, selon les termes de la vie courante. Dans le cas examiné, le fait pour deux adolescents de s'introduire pendant le week-end dans un atelier a ainsi été qualifié de "gaminerie" (</w:t>
      </w:r>
    </w:p>
    <w:p>
      <w:r>
        <w:t>Jungenstreich ) ne relevant pas de la clause d'exclusion, quand bien même le comportement en cause constituait une violation de domicile au sens de l' art. 186 CP . Le caractère intentionnel de l'acte incriminé n'était pas contesté ( ATF 115 II 264 consid. 5c p. 271).</w:t>
      </w:r>
    </w:p>
    <w:p>
      <w:r>
        <w:t>Contrairement à ce qu'il sous-entend, le recourant ne pouvait pas comprendre de bonne foi que les délits en matière de circulation routière étaient exclus</w:t>
      </w:r>
    </w:p>
    <w:p>
      <w:r>
        <w:t>ipso facto des infractions visées à l' art. 8 let . f CGA. Rien ne permet d'affirmer que, de manière générale, un délit en matière de circulation routière ne peut pas être perçu dans le public comme une infraction d'une certaine gravité. Dans le cas particulier, la renonciation à la réduction prévue par l' art. 14 al. 2 LCA en cas de faute grave - contenue à l'art. 9.1 let. b CGA - ne plaide pas non plus en faveur de la thèse du recourant. La faute grave au sens de l' art. 14 al. 2 LCA est commise par celui qui viole un devoir élémentaire de prudence dont le respect s'impose à toute personne raisonnable placée dans la même situation ( ATF 119 II 443 consid. 2a p. 448; cf. également ATF 128 III 76 consid. 1b p. 81). Elle se distingue de l'intention mentionnée à l' art. 14 al. 1 LCA et, dans ce cadre-là, peut aller jusqu'au dol éventuel (cf. ATF 115 II 264 consid. 5b p. 270; Brehm, op. cit., n° 242, p. 133). Mais, surtout, elle porte sur le sinistre lui-même; c'est l'accident qui est causé par une faute grave. Pour sa part, la clause d'exclusion litigieuse contient une condition différente: la faute, soit l'intention, ne porte pas sur l'accident - soit le résultat -, mais sur le crime ou le délit - soit l'acte - à l'origine de l'accident. Or, on ne voit pas pourquoi des délits commis intentionnellement en matière de circulation routière devraient être traités différemment des autres délits intentionnels, au motif que l'accident lui-même n'a pas été voulu et qu'il s'est produit à la suite d'un comportement pouvant également être qualifié de faute grave au sens de l' art. 14 al. 2 LCA . Sur ce point, il n'apparaît pas non plus incompréhensible que l'assureur accepte de renoncer à réduire ses prestations lorsque l'accident, intervenu dans la circulation ou lors d'une autre activité même téméraire, est dû uniquement à une faute grave de l'assuré - consistant le plus souvent en une négligence grossière -, mais qu'il refuse de prendre en charge les suites de l'accident qui résulte en plus de la commission d'un délit intentionnel.</w:t>
      </w:r>
    </w:p>
    <w:p>
      <w:r>
        <w:rPr>
          <w:b/>
        </w:rPr>
        <w:t>E. 2.3</w:t>
      </w:r>
    </w:p>
    <w:p>
      <w:r>
        <w:t>Il convient à présent d'examiner si l'accident de juillet 2007 résulte d'un délit commis intentionnellement par l'assuré.</w:t>
      </w:r>
    </w:p>
    <w:p>
      <w:r>
        <w:t>Le recourant a été déclaré coupable de violations simple et grave de la circulation au sens de l'ancien art. 90 ch. 1 et 2 LCR pour infraction aux art. 31 al. 1 LCR (maîtrise du véhicule), 32 al. 1 LCR (vitesse), 34 LCR (circulation à droite) et 35 LCR (croisement et dépassement). Il prétend que seule la violation de l'art. 31 al. 1 et de l' art. 34 LCR serait effectivement à l'origine de l'accident, dû en définitive à son inattention. Or, un défaut d'attention ne serait pas perçu généralement comme une infraction d'une certaine gravité, condition d'application de la clause d'exclusion.</w:t>
      </w:r>
    </w:p>
    <w:p>
      <w:r>
        <w:t>Le moyen est à la limite de la témérité. Il est manifeste que l'accident a été causé par le comportement d'ensemble du recourant et qu'il ne saurait être attribué exclusivement à des violations simples de la LCR au sens de l'ancien art. 90 ch. 1 LCR . Cela étant, le recourant a commis plusieurs violations crasses de règles fondamentales de la circulation. Roulant à une vitesse oscillant entre 140 et 160 km/h sur un tronçon limité à 80 km/h, le motocycliste a dépassé plusieurs véhicules de manière dangereuse, ne tenant pas compte des flèches de rabattement, puis poursuivant sa manoeuvre sur la voie de circulation de gauche après avoir franchi la ligne de sécurité, avant de heurter le camion venant normalement en sens inverse. Le très grand excès de vitesse et le dépassement téméraire avec franchissement d'une ligne de sécurité atteignent indubitablement le degré de l'infraction d'une certaine gravité aux yeux du profane. Il n'est en outre guère contestable que le recourant a commis ces actes intentionnellement.</w:t>
      </w:r>
    </w:p>
    <w:p>
      <w:r>
        <w:t>En conclusion, la cour cantonale a admis à bon droit que l'intimée pouvait valablement refuser toute prestation au recourant sur la base de l' art. 8 let . f CGA. Le recours sera dès lors rejeté.</w:t>
      </w:r>
    </w:p>
    <w:p>
      <w:r>
        <w:rPr>
          <w:b/>
        </w:rPr>
        <w:t>E. 3</w:t>
      </w:r>
    </w:p>
    <w:p>
      <w:r>
        <w:t>Vu le sort réservé au recours, les frais judiciaires seront mis à la charge du recourant ( art. 66 al. 1 LTF ). Ce dernier n'aura pas à verser des dépens à l'intimée, qui n'est pas représentée par un avocat autorisé au sens de l' art. 40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