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4A_166/2007 vom 23. August 2007</w:t>
      </w:r>
    </w:p>
    <w:p>
      <w:r>
        <w:t>Bundesgericht, 2007-08-23, DE</w:t>
      </w:r>
    </w:p>
    <w:p>
      <w:r>
        <w:rPr>
          <w:b/>
        </w:rPr>
        <w:t xml:space="preserve">Quelle: </w:t>
      </w:r>
      <w:r>
        <w:t>https://mcp.opencaselaw.ch/entscheid/bger_4A_166_2007</w:t>
      </w:r>
    </w:p>
    <w:p>
      <w:r>
        <w:t>FR: TF 4A_166/2007 du 23 août 2007</w:t>
      </w:r>
    </w:p>
    <w:p>
      <w:r>
        <w:t>IT: TF 4A_166/2007 del 23 agosto 2007</w:t>
      </w:r>
    </w:p>
    <w:p>
      <w:pPr>
        <w:pStyle w:val="Heading2"/>
      </w:pPr>
      <w:r>
        <w:t>Erwägungen</w:t>
      </w:r>
    </w:p>
    <w:p>
      <w:r>
        <w:rPr>
          <w:b/>
        </w:rPr>
        <w:t>E. 1</w:t>
      </w:r>
    </w:p>
    <w:p>
      <w:r>
        <w:t>Der angefochtene Entscheid ist am 19. Januar 2007 gefällt worden und damit nach Inkrafttreten des BGG am 1. Januar 2007. Das neue Recht ist gemäss Art. 132 BGG auf das vorliegende Verfahren anwendbar.</w:t>
      </w:r>
    </w:p>
    <w:p>
      <w:r>
        <w:rPr>
          <w:b/>
        </w:rPr>
        <w:t>E. 2</w:t>
      </w:r>
    </w:p>
    <w:p>
      <w:r>
        <w:t>Nach Art. 42 Abs. 2 BGG ist in der Beschwerdeschrift in gedrängter Form darzulegen, inwiefern der angefochtene Akt Recht verletzt. Genügt die Rechtsschrift dieser Anforderung, wendet das Bundesgericht das Recht von Amtes wegen an ( Art. 106 Abs. 1 BGG ). Es prüft allerdings die Verletzung von Grundrechten nur insofern, als eine solche Rüge in der Beschwerde vorgebracht und begründet worden ist ( Art. 106 Abs. 2 BGG ). Grundsätzlich unzulässig sind Rügen, die sich gegen die tatsächlichen Feststellungen des angefochtenen Entscheides richten, sofern diese nicht offensichtlich unrichtig sind oder auf einer Rechtsverletzung im Sinne von Art. 95 BGG beruhen (Art. 97 Abs. 1 und 105 Abs. 2 BGG). Der Beschwerdeführer, welcher die Sachverhaltsfeststellungen der Vorinstanz anfechten will, muss substanziiert darlegen, inwiefern die Voraussetzungen gemäss Art. 105 Abs. 2 BGG gegeben sind. Er hat im Einzelnen aufzuzeigen, weshalb die beanstandeten Feststellungen offensichtlich unrichtig sind, und zudem aufzuzeigen, dass das Verfahren bei rechtskonformer Ermittlung des Sachverhalts anders ausgegangen wäre (Urteil 1C_64/2007 vom 2. Juli 2007, E. 5.1).</w:t>
      </w:r>
    </w:p>
    <w:p>
      <w:r>
        <w:rPr>
          <w:b/>
        </w:rPr>
        <w:t>E. 3</w:t>
      </w:r>
    </w:p>
    <w:p>
      <w:r>
        <w:t>Wer aus unerlaubter Handlung Schadenersatz beansprucht, hat gemäss Art. 42 Abs. 1 OR den Schaden zu beweisen. Die Beurteilung, ob und welcher Schaden eingetreten ist, stellt eine Tatfrage dar. Als Rechtsfrage kann hingegen geprüft werden, ob die Vorinstanz den Rechtsbegriff des Schadens verkannt hat ( BGE 128 III 22 E. 2e S. 26; 127 III 73 E. 3c S. 75, je mit Hinweisen). Die Zusprechung von Schadenersatz setzt nach bundesgerichtlicher Rechtsprechung voraus, dass der Eintritt des geltend gemachten Schadens nicht bloss im Bereich des Möglichen liegt, sondern als annähernd sicher erscheint ( BGE 122 III 219 E. 3a S. 222 mit Hinweisen; vgl. auch BGE 132 III 379 E. 3.1 S. 381).</w:t>
      </w:r>
    </w:p>
    <w:p>
      <w:r>
        <w:rPr>
          <w:b/>
        </w:rPr>
        <w:t>E. 3.1</w:t>
      </w:r>
    </w:p>
    <w:p>
      <w:r>
        <w:t>Die Vorinstanz liess die Frage offen, ob das Zivilgericht an den zu Art. 159 aStGB entwickelten Schadensbegriff gebunden ist, der auch eine Vermögensverminderung als Schaden anerkennt, wenn der Gefährdung im Rahmen einer sorgfältigen Bilanzierung durch Wertberichtigung oder Rückstellung Rechnung getragen werden muss ( BGE 129 IV 124 E. 3.1 S. 125 f.; 122 IV 279 E. 2a S. 281). Weiter führte sie aus, selbst wenn das zutreffe, könne unter diesem Titel kein Schaden bejaht werden. Die Beschwerdeführer hätten nämlich nicht nachgewiesen, dass sie auf Grund der behaupteten Vermögensgefährdung Rückstellungen vorgenommen hätten, und hätten insofern den Beweis für die Vermögensgefährdung nicht angetreten.</w:t>
      </w:r>
    </w:p>
    <w:p>
      <w:r>
        <w:rPr>
          <w:b/>
        </w:rPr>
        <w:t>E. 3.2</w:t>
      </w:r>
    </w:p>
    <w:p>
      <w:r>
        <w:t>Die Beschwerdeführer bringen dagegen sinngemäss vor, die Vorinstanz habe den Begriff des Schadens im Form einer Vermögensgefährdung verkannt. Bei einer Vermögensgefährdung sei nicht darauf abzustellen, ob der Geschädigte die Wertberichtigung tatsächlich vorgenommen habe. Es sei vielmehr lediglich festzustellen, welche Wertberichtigungen der sorgfältige Kaufmann vornehmen müsse. Wie es sich damit verhält, braucht hier nicht beurteilt zu werden. Die Beschwerdeführer sehen eine Vermögensgefährdung (und damit einen Schaden) darin, dass die C.________ AG nach der Weitergabe der Schuldbriefe durch die Beschwerdegegnerin damit habe rechnen müssen, die gesamte Schuldbriefforderung bezahlen zu müssen. Aus den Feststellungen der Vorinstanz ergeben sich allerdings keine Anhaltspunkte dafür, dass die E.________ GmbH nicht mehr im Besitz der Schuldbriefe ist. Die Firma nannte denn auch in der Betreibung gegen die C.________ AG unter anderem die Schuldbriefe als Grund für die geltend gemachten Forderungen. Die E.________ GmbH sah bei ihrer Gründung als beabsichtigte Sachübernahme vor, sich "die Forderung samt Vorzugs- und Nebenrechten aus dem gekündigten Hypothekardarlehen X.________ AG/einfache Gesellschaft D.________, in Thun, und C.________ AG, in Heimberg, im Wert von Fr. 756'204.35, zum Preis von Fr. 756'204.35 abtreten zu lassen", womit der C.________ AG ihr gegenüber die Einwendung offen steht, sie hafte ihr aus dem Bankdarlehen nur in dieser Höhe. Die blosse Möglichkeit, dass die E.________ GmbH die Schuldbriefe einem gutgläubigen Dritten übergibt, der die C.________ AG dann für die gesamte Schuldbriefforderung belangen könnte, reicht nicht aus, um den Eintritt eines Schadens als annähernd sicher erscheinen zu lassen. Die Vorinstanz hat damit jedenfalls im Resultat kein Bundesrecht verletzt, als sie in dieser Hinsicht das Vorliegen eines Schadens verneinte.</w:t>
      </w:r>
    </w:p>
    <w:p>
      <w:r>
        <w:rPr>
          <w:b/>
        </w:rPr>
        <w:t>E. 4</w:t>
      </w:r>
    </w:p>
    <w:p>
      <w:r>
        <w:t>Die Vorinstanz kam zum Schluss, der tiefe Preis für die Veräusserung des mit den Schuldbriefen belasteten Grundstücks in Oberhofen sei einerseits damit zu erklären, dass die Käuferin der C.________ AG nahe stehen würde. Andererseits sei der Kaufpreis von steuerspezifischen Überlegungen und vom Umfeld bestimmt und das Grundstück weise weitere Mängel auf, die den Wert wesentlich beeinträchtigten. Sie verneinte deshalb den natürlichen Kausalzusammenhang zwischen dem geltend gemachten Schaden und der Weitergabe der Schuldbriefe durch die Beschwerdegegnerin an die E.________ GmbH. Diese Frage beschlägt die tatsächlichen Verhältnisse, weshalb die entsprechenden vorinstanzlichen Feststellungen das Bundesgericht gemäss Art. 105 BGG grundsätzlich binden ( BGE 132 III 715 E. 2.2 S. 718; 130 III 591 E. 5.3 S. 601, je mit Hinweisen).</w:t>
      </w:r>
    </w:p>
    <w:p>
      <w:r>
        <w:t>Die Beschwerdeführer führen dazu aus, die C.________ AG habe das Grundstück wegen der Weitergabe der Schuldbriefe mit einem Verlust von Fr. 350'000.-- verkaufen müssen. Damit setzen sie sich in Widerspruch zu den tatsächlichen Feststellungen der Vorinstanz, ohne eine substanziierte Sachverhaltsrüge zu erheben. Es ist darauf nicht einzutreten.</w:t>
      </w:r>
    </w:p>
    <w:p>
      <w:r>
        <w:rPr>
          <w:b/>
        </w:rPr>
        <w:t>E. 5</w:t>
      </w:r>
    </w:p>
    <w:p>
      <w:r>
        <w:t>Da der Schluss der Vorinstanz, die Beschwerdeführer hätten den behaupteten Schaden nicht nachweisen können, bundesrechtlich nicht zu beanstanden ist, und es damit von vorneherein an einer verrechenbaren Gegenforderung fehlt, erübrigt es sich, auf die Vorbringen der Beschwerdeführer zur Widerrechtlichkeit und zum adäquaten Kausalzusammenhang einzugehen.</w:t>
      </w:r>
    </w:p>
    <w:p>
      <w:r>
        <w:rPr>
          <w:b/>
        </w:rPr>
        <w:t>E. 6</w:t>
      </w:r>
    </w:p>
    <w:p>
      <w:r>
        <w:t>Nach dem Gesagten ist die Beschwerde abzuweisen, soweit darauf eingetreten werden kann. Bei diesem Ausgang des Verfahrens werden die Beschwerdeführer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