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165/2012 vom 27. August 2012</w:t>
      </w:r>
    </w:p>
    <w:p>
      <w:r>
        <w:t>Bundesgericht, 2012-08-27, FR</w:t>
      </w:r>
    </w:p>
    <w:p>
      <w:r>
        <w:rPr>
          <w:b/>
        </w:rPr>
        <w:t xml:space="preserve">Quelle: </w:t>
      </w:r>
      <w:r>
        <w:t>https://mcp.opencaselaw.ch/entscheid/bger_4A_165_2012</w:t>
      </w:r>
    </w:p>
    <w:p>
      <w:r>
        <w:t>FR: TF 4A 165/2012 du 27 août 2012</w:t>
      </w:r>
    </w:p>
    <w:p>
      <w:r>
        <w:t>IT: TF 4A 165/2012 del 27 agosto 2012</w:t>
      </w:r>
    </w:p>
    <w:p>
      <w:pPr>
        <w:pStyle w:val="Heading2"/>
      </w:pPr>
      <w:r>
        <w:t>Regeste</w:t>
      </w:r>
    </w:p>
    <w:p>
      <w:r>
        <w:t>contrat de vente: dommages-intérêts | Droit des contrats</w:t>
      </w:r>
    </w:p>
    <w:p>
      <w:pPr>
        <w:pStyle w:val="Heading2"/>
      </w:pPr>
      <w:r>
        <w:t>Erwägungen</w:t>
      </w:r>
    </w:p>
    <w:p>
      <w:r>
        <w:rPr>
          <w:b/>
        </w:rPr>
        <w:t>E. 1.1</w:t>
      </w:r>
    </w:p>
    <w:p>
      <w:r>
        <w:t>Interjeté par les parties demanderesses qui ont succombé dans leurs conclusions en paiement et qui ont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 art. 100 al. 1 LTF ) et la forme ( art. 42 LTF ) prévus par la loi. Il faut observer que l'arrêt attaqué est fondé sur une double motivation: la tardiveté de l'avis des défauts et la prescription. Se conformant à l'exigence de recevabilité posée par la jurisprudence ( ATF 138 I 97 consid. 4.1.4 p. 100), les recourants ont attaqué chacune de ces deux motivations alternatives.</w:t>
      </w:r>
    </w:p>
    <w:p>
      <w:r>
        <w:rPr>
          <w:b/>
        </w:rPr>
        <w:t>E. 1.2</w:t>
      </w:r>
    </w:p>
    <w:p>
      <w:r>
        <w:t>Le recours peut être interjeté pour violation du droit, tel qu'il est délimité par les art. 95 et 96 LTF .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les recourants présentent leur propre version des faits, mais sans se référer de manière précise à l'une des exceptions prévues par l' art. 105 al. 2 LTF , de sorte qu'il n'y a pas lieu d'en tenir compte.</w:t>
      </w:r>
    </w:p>
    <w:p>
      <w:r>
        <w:rPr>
          <w:b/>
        </w:rPr>
        <w:t>E. 1.4</w:t>
      </w:r>
    </w:p>
    <w:p>
      <w:r>
        <w:t>Le Tribunal fédéral ne peut aller au-delà des conclusions des parties ( art. 107 al. 1 LTF ). Toute conclusion nouvelle est irrecevable ( art. 99 al. 2 LTF ).</w:t>
      </w:r>
    </w:p>
    <w:p>
      <w:r>
        <w:rPr>
          <w:b/>
        </w:rPr>
        <w:t>E. 2</w:t>
      </w:r>
    </w:p>
    <w:p>
      <w:r>
        <w:t>La Cour d'appel civile, à l'instar de la Cour civile, a retenu que les parties ont été liées par un contrat de vente avec obligation de montage. Selon la doctrine, il s'agit d'une convention qui prévoit, d'une part, la livraison et le transfert de propriété d'une chose ou des parties composantes d'une chose, et, d'autre part, l'activité nécessaire pour mettre cette chose vendue, mais non encore utilisable, en état de servir et de fonctionner conformément à sa destination, le tout en échange d'un prix que l'autre partie s'engage à payer (JEAN-SAMUEL LEUBA, Le contrat de vente avec obligation de montage, Lausanne 1995, p. 29). Les recourants auraient souhaité que le contrat soit qualifié de contrat d'entreprise ( art. 363 CO ) ayant pour objet une construction immobilière afin de bénéficier du délai quinquennal de prescription instauré par l' art. 371 al. 2 CO . Toutefois, il n'est nul besoin de procéder à une qualification contractuelle, dès l'instant où cette dernière n'a pas d'influence sur le sort du litige. En effet, le délai de prescription de cinq ans de l' art. 371 al. 2 CO - qui vaut également pour l'ensemble des prétentions en garantie découlant d'un contrat de vente immobilière ( art. 219 al. 3 CO ) - est échu en l'espèce.</w:t>
      </w:r>
    </w:p>
    <w:p>
      <w:r>
        <w:rPr>
          <w:b/>
        </w:rPr>
        <w:t>E. 2.1</w:t>
      </w:r>
    </w:p>
    <w:p>
      <w:r>
        <w:t>Le délai quinquennal de prescription en question courait à compter de la livraison de l'ouvrage. La cour cantonale a constaté en fait - d'une manière qui lie le Tribunal fédéral ( art. 105 al. 1 LTF ) - que l'installation a été mise en service le 30 juillet 1997 et que l'intimée a envoyé sa facture finale le 9 septembre 1997. Il suit de là que les recourants sont entrés en possession exclusive de l'installation le 30 juillet 1997, sans protestation, alors que l'intimée montrait qu'elle considérait son intervention comme terminée. Il faut donc conclure, d'un point de vue juridique, que la livraison a eu lieu le 30 juillet 1997. Selon la jurisprudence, les droits de garantie pour les défauts qui n'ont pas été signalés avant l'échéance du délai de prescription sont périmés; autrement dit, il est sans importance que le maître de l'ouvrage ou l'acheteur n'ait appris l'existence du défaut que passé le délai de prescription ( ATF 130 III 362 consid. 4). La dette n'ayant jamais été reconnue ( art. 135 ch. 1 CO ), la prescription ne pouvait être interrompue - selon la formulation de ladite norme en vigueur au moment des faits - que lorsque le créancier faisait valoir ses droits par des poursuites, par une action ou une exception devant un tribunal ou des arbitres, par une intervention dans une faillite ou par une citation en conciliation (art. 135 ch. 2 aCO). Une requête de preuve à futur, notamment de constat, n'interrompt pas la prescription ( ATF 93 II 498 consid. 2 p. 503 en bas). Il résulte de l'état de fait cantonal déterminant que le premier acte interruptif de prescription est une réquisition de poursuite intervenue le 14 juin 2004. En conséquence, à considérer le dies a quo du délai de prescription, fixé au 30 juillet 1997, six ans, dix mois et quatorze jours se sont écoulés avant que les recourants n'adressent cette réquisition de poursuite. Le délai de prescription quinquennal était alors échu, ce qui entraînait la déchéance de tous les droits résultant de la garantie des défauts, sans qu'il y ait lieu d'examiner les autres conditions d'une action fondée sur cette garantie. La déchéance s'appliquait également à une action en dommages-intérêts qui pourrait être intentée en invoquant une mauvaise exécution contractuelle au sens de l' art. 97 CO ( ATF 133 III 335 consid. 2.4.4 p. 341).</w:t>
      </w:r>
    </w:p>
    <w:p>
      <w:r>
        <w:rPr>
          <w:b/>
        </w:rPr>
        <w:t>E. 2.2</w:t>
      </w:r>
    </w:p>
    <w:p>
      <w:r>
        <w:t>Il est vrai que l'intimée est encore intervenue ponctuellement, après la livraison, pour des contrôles, des services d'entretien et des réparations, cela jusqu'au 15 décembre 2001. En l'absence d'une obligation durable, chaque intervention d'entretien donne lieu à un contrat d'entreprise si elle aboutit à un résultat objectivement constatable garanti par l'intervenant ( ATF 130 III 458 consid. 4 p. 461; cf. aussi: TERCIER/FAVRE, Les contrats spéciaux, 4e éd. 2009, n° 4254 p. 639). On pourrait donc à nouveau se demander si ces contrats d'entreprise portent sur une construction immobilière, ce qui entraînerait l'application du délai quinquennal de l' art. 371 al. 2 CO . Il ne ressort cependant pas de l'état de fait contenu dans l'arrêt attaqué - qui lie le Tribunal fédéral ( art. 105 al. 1 LTF ) - qu'un défaut dont se plaignent les recourants serait né d'une telle intervention et n'existait pas auparavant. Certes, les recourants tentent de soutenir le contraire en évoquant le déplacement du régulateur de vide. Le déplacement de cette pièce était un problème déjà connu des recourants à la suite du rapport A.________ du 26 juin 2002. Pourtant, ils n'en ont pas fait état dans leur lettre détaillée à l'intimée du 27 juillet 2002, ce qui tend à montrer qu'ils n'y attachaient pas d'importance. L'expert judiciaire a traité la question, mais il a observé que le déplacement était intervenu après l'apparition des troubles de santé ayant affecté les vaches. On doit en déduire qu'aucun rapport de causalité naturelle n'a pu être établi entre le déplacement du régulateur et le dommage invoqué. En l'absence d'un défaut dommageable né des interventions postérieures à la livraison, il n'y a pas lieu d'examiner plus avant si les droits des recourants en relation avec ces interventions seraient ou non prescrits.</w:t>
      </w:r>
    </w:p>
    <w:p>
      <w:r>
        <w:rPr>
          <w:b/>
        </w:rPr>
        <w:t>E. 2.3</w:t>
      </w:r>
    </w:p>
    <w:p>
      <w:r>
        <w:t>Les frais judiciaires et les dépens doivent être mis solidairement à la charge des recourants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