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164/2023 vom 23. Mai 2023</w:t>
      </w:r>
    </w:p>
    <w:p>
      <w:r>
        <w:t>Bundesgericht, 2023-05-23, FR</w:t>
      </w:r>
    </w:p>
    <w:p>
      <w:r>
        <w:rPr>
          <w:b/>
        </w:rPr>
        <w:t xml:space="preserve">Quelle: </w:t>
      </w:r>
      <w:r>
        <w:t>https://mcp.opencaselaw.ch/entscheid/bger_4A_164_2023</w:t>
      </w:r>
    </w:p>
    <w:p>
      <w:r>
        <w:t>FR: TF 4A 164/2023 du 23 mai 2023</w:t>
      </w:r>
    </w:p>
    <w:p>
      <w:r>
        <w:t>IT: TF 4A 164/2023 del 23 maggio 2023</w:t>
      </w:r>
    </w:p>
    <w:p>
      <w:pPr>
        <w:pStyle w:val="Heading2"/>
      </w:pPr>
      <w:r>
        <w:t>Regeste</w:t>
      </w:r>
    </w:p>
    <w:p>
      <w:r>
        <w:t>restituion de délai (art. 148 CPC),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Dans un même grief, la recourante se plaint d'une constatation manifestement inexacte des faits et semble également dénoncer une violation de l' art. 148 al. 1 CPC .</w:t>
      </w:r>
    </w:p>
    <w:p>
      <w:r>
        <w:rPr>
          <w:b/>
        </w:rPr>
        <w:t>E. 3.1</w:t>
      </w:r>
    </w:p>
    <w:p>
      <w:r>
        <w:t>Aux termes de l' art. 148 CPC ,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Le défaut doit découler d'une absence de faute ou d'une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4A_617/2020 du 21 janvier 2021 consid. 3.1; 4A_52/2019 du 20 mars 2019 consid. 3.1). Une maladie subite d'une certaine gravité qui empêche la partie de se présenter ou de prendre à temps les dispositions nécessaires peut justifier une restitution de délai. Seule la maladie survenant à la fin du délai de recours et empêchant la partie de défendre elle-même ses intérêts, ainsi que de recourir à temps aux services d'un tiers, constitue un empêchement non fautif (arrêt précité 4A_617/2020 consid. 3.1). Le point de savoir quelles circonstances excusables une partie a rendu vraisemblables concerne l'appréciation des preuves et constitue une question de fait. En revanche, dire si la faute de la partie requérante peut encore être qualifiée de légère au regard des constatations de fait souveraines de l'autorité précédente est une question de droit. Il suffit que les conditions (matérielles) d'application de l' art. 148 CPC soient rendues vraisemblables par le requérant, qui supporte le fardeau de la preuve. La requête de restitution doit ainsi être motivée, c'est-à-dire indiquer l'empêchement, et accompagnée des moyens de preuve disponibles (arrêts précités 4A_617/2020 consid. 3.1; 4A_52/2019 consid. 3.1). Le juge appelé à se prononcer sur la requête de restitution dispose d'une marge d'appréciation.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(arrêts précités 4A_617/2020 consid. 3.1; 4A_52/2019 consid. 3.1).</w:t>
      </w:r>
    </w:p>
    <w:p>
      <w:r>
        <w:rPr>
          <w:b/>
        </w:rPr>
        <w:t>E. 3.2</w:t>
      </w:r>
    </w:p>
    <w:p>
      <w:r>
        <w:t>La recourante soutient que la cour cantonale aurait dû retenir qu'elle avait rendu vraisemblables les circonstances l'ayant empêchée de se présenter à l'audience du 6 septembre 2022, et qu'elle avait pris toutes les précautions attendues pour s'y rendre. Sa faute devait donc être qualifiée de légère.</w:t>
      </w:r>
    </w:p>
    <w:p>
      <w:r>
        <w:rPr>
          <w:b/>
        </w:rPr>
        <w:t>E. 3.3</w:t>
      </w:r>
    </w:p>
    <w:p>
      <w:r>
        <w:t>La critique de la recourante mêle les faits et le droit. En outre, elle se fonde essentiellement sur des faits qui n'ont pas été constatés par la cour cantonale, sans pour autant requérir valablement un complètement de l'état de fait sur ces points. Il en va notamment ainsi lorsqu'elle soutient ne pas avoir de proche à qui elle aurait pu demander de l'aide, à l'exception de sa fille. Pour le surplus, la recourante se base sur sa propre appréciation de la situation et de son état de santé, sans parvenir à démontrer que celle opérée par la cour cantonale serait arbitraire. En outre, contrairement à ce qu'allègue la recourante, la cour cantonale a pris en compte les troubles décrits par le Dr C.________, tout en expliquant les raisons pour lesquelles elle considérait que le certificat établi par ce médecin était impropre à modifier le sort de la cause. La recourante ne s'en prend pas aux développements opérés par la cour cantonale à ce sujet. Au gré de son argumentation, la recourante soutient encore que l'avocat-stagiaire de Me Aba Neeman était présent lors de l'audience, mais que la Commission de conciliation a quand même prononcé le défaut de comparution. Or, elle n'a pas soulevé ce moyen devant la cour cantonale, laquelle a relevé que l'intéressée contestait le refus de restitution, mais pas le défaut (cf. consid. 3.1 de la décision attaquée). Ce moyen est dès lors quoi qu'il en soit irrecevable, faute de satisfaire au principe de l'épuisement des griefs (cf. ATF 143 III 290 consid. 1.1; arrêt 4A_483/2022 du 8 mars 2023 consid. 4). Au vu de ce qui précède, les griefs de la recourante doivent être rejetés, pour autant qu'ils soient recevables. La cour cantonale n'a ni sombré dans l'arbitraire, ni violé le droit fédéral, en confirmant le rejet de la requête de restitution.</w:t>
      </w:r>
    </w:p>
    <w:p>
      <w:r>
        <w:rPr>
          <w:b/>
        </w:rPr>
        <w:t>E. 4</w:t>
      </w:r>
    </w:p>
    <w:p>
      <w:r>
        <w:t>Enfin, la recourante dénonce une violation de son droit d'être entendue ( art. 29 al. 2 Cst. ) et de l'interdiction de l'arbitraire, dans la mesure où la cour cantonale a refusé de procéder à son audition.</w:t>
      </w:r>
    </w:p>
    <w:p>
      <w:r>
        <w:rPr>
          <w:b/>
        </w:rPr>
        <w:t>E. 4.1</w:t>
      </w:r>
    </w:p>
    <w:p>
      <w:r>
        <w:t>La cour cantonale a relevé que la locataire alléguait nouvellement qu'elle aurait dû prendre les transports en commun pour se rendre à l'audience, et qu'à cause de son pied, elle aurait dû débuter son trajet dès 7 h 18, mais que le jour en question, elle n'avait pas pu se réveiller, bien qu'elle ait tout préparé la veille pour aller prendre le bus; à l'appui de ces faits, elle proposait son interrogatoire. La cour cantonale a retenu qu'il s'agissait là de faits que la locataire aurait pu soumettre à l'autorité de première instance, et qu'elle ne cherchait pas à démontrer qu'il lui était impossible de les présenter. Ces faits étaient ainsi irrecevables, de sorte qu'il n'y avait pas lieu de mettre en oeuvre l'interrogatoire de l'intéressée, proposé à leur appui.</w:t>
      </w:r>
    </w:p>
    <w:p>
      <w:r>
        <w:rPr>
          <w:b/>
        </w:rPr>
        <w:t>E. 4.2</w:t>
      </w:r>
    </w:p>
    <w:p>
      <w:r>
        <w:t>La recourante se limite à affirmer que seul son interrogatoire aurait permis de prouver son état de santé, l'intensité et les répercussions de " l'épisode " qu'elle a subi le jour de l'audience, et les efforts qu'elle a entrepris pour s'y rendre. Ce faisant, elle ne discute pas la motivation que la cour cantonale a exposée pour justifier le refus de l'audition. La recourante soutient aussi que la cour cantonale a fait preuve d'arbitraire en retenant qu'elle aurait dû demander à un tiers de s'assurer qu'elle s'était réveillée, sans connaître les circonstances de sa vie; cela aurait dû donner lieu à son interrogatoire. Or, il appartient à celui qui demande la restitution de présenter, déjà dans sa requête, l'ensemble des circonstances justifiant l'octroi d'une restitution. La recourante ne saurait ainsi en aucun cas adresser un tel reproche à la cour cantonale.</w:t>
      </w:r>
    </w:p>
    <w:p>
      <w:r>
        <w:rPr>
          <w:b/>
        </w:rPr>
        <w:t>E. 5</w:t>
      </w:r>
    </w:p>
    <w:p>
      <w:r>
        <w:t>En définitive, le recours, manifestement mal fondé aux termes de l' art. 109 al. 2 let. a LTF , doit être rejeté, dans la faible mesure de sa recevabilité. Selon l' art. 64 al. 1 LTF , le Tribunal fédéral peut accorder l'assistance judiciaire à une partie à condition que celle-ci ne dispose pas de ressources suffisantes et que ses conclusions ne paraissent pas vouées à l'échec. En l'occurrence, la procédure entreprise devant le Tribunal fédéral n'offrait manifestement aucune chance de succès, ce qui entraîne le rejet de la demande d'assistance judiciaire de la recourante. Elle supportera dès lors les frais de la présente procédure ( art. 66 al. 1 LTF ). En revanche, elle n'aura pas à indemniser l'intimée, cette dernière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