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4A_164/2011 vom 10. November 2011</w:t>
      </w:r>
    </w:p>
    <w:p>
      <w:r>
        <w:t>Bundesgericht, 2011-11-10, DE</w:t>
      </w:r>
    </w:p>
    <w:p>
      <w:r>
        <w:rPr>
          <w:b/>
        </w:rPr>
        <w:t xml:space="preserve">Quelle: </w:t>
      </w:r>
      <w:r>
        <w:t>https://mcp.opencaselaw.ch/entscheid/bger_4A_164_2011</w:t>
      </w:r>
    </w:p>
    <w:p>
      <w:r>
        <w:t>FR: TF 4A_164/2011 du 10 novembre 2011</w:t>
      </w:r>
    </w:p>
    <w:p>
      <w:r>
        <w:t>IT: TF 4A_164/2011 del 10 novembre 2011</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Beschwerde richtet sich gegen einen Endentscheid ( Art. 90 BGG ) in einer Zivilsache ( Art. 72 Abs. 1 BGG ), der von einem oberen kantonalen Gericht erging, das als Fachgericht für handelsrechtliche Streitigkeiten und einzige kantonale Instanz eingesetzt ist ( Art. 75 Abs. 2 lit. b BGG ). Die Rechtsbegehren der Beschwerdeführerin sind im kantonalen Verfahren nicht geschützt worden ( Art. 76 Abs. 1 BGG ), der massgebende Streitwert beträgt mehr als Fr. 30'000.-- (Art. 51 i.V.m. Art. 74 Abs. 1 lit. b BGG ) und die Beschwerdefrist ist eingehalten ( Art. 100 Abs. 1 BGG ). Anhaltspunkte dafür, dass sich die Beschwerdeführerin geradezu rechtsmissbräuchlich auf Art. 44 Abs. 2 BGG stützen würde, sind entgegen der Auffassung der Beschwerdegegnerin keine ersichtlich.</w:t>
      </w:r>
    </w:p>
    <w:p>
      <w:r>
        <w:rPr>
          <w:b/>
        </w:rPr>
        <w:t>E. 1.2</w:t>
      </w:r>
    </w:p>
    <w:p>
      <w:r>
        <w:t>Das angefochtene Urteil des Handelsgerichts ist nur insofern der Beschwerde zugänglich, als es das Erfordernis der Letztinstanzlichkeit erfüllt, mithin für die gegen dieses erhobenen Rügen kein kantonales Rechtsmittel mehr offen stand ( Art. 75 Abs. 1 BGG ; BGE 134 III 524 E. 1.3 S. 527). Gemäss §§ 281 ff. der auf den 1. Januar 2011 aufgehobenen Zivilprozessordnung des Kantons Zürich vom 13. Juni 1976 konnte gegen Urteile des Handelsgerichts kantonale Nichtigkeitsbeschwerde an das Kassationsgericht des Kantons Zürich erhoben werden. Nach Art. 405 Abs. 1 der seit dem 1. Januar 2011 geltenden Schweizerischen Zivilprozessordnung vom 19. Dezember 2008 (ZPO; SR 272) gilt für die Rechtsmittel das Recht, das bei der Eröffnung des Entscheides in Kraft ist. Das angefochtene Urteil des Handelsgerichts wurde nach Inkrafttreten der ZPO eröffnet, womit für das Rechtsmittelverfahren das neue Recht gilt ( BGE 137 III 127 E. 2 S. 130). Dieses sieht gegen Entscheide von Handelsgerichten kein innerkantonales Rechtsmittel mehr vor ( Art. 6 Abs. 1 ZPO e contrario ["einzige kantonale Instanz"]). Damit erweist sich der angefochtene Entscheid hinsichtlich sämtlicher im Rahmen der Beschwerde in Zivilsachen zulässigen Rügen als letztinstanzlich (vgl. auch Urteil 4A_293/2011 vom 23. August 2011 E. 1.2).</w:t>
      </w:r>
    </w:p>
    <w:p>
      <w:r>
        <w:rPr>
          <w:b/>
        </w:rPr>
        <w:t>E. 1.3.1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Entscheides zu beantragen, sondern muss einen Antrag in der Sache stellen. Anträge auf Rückweisung der Sache an die Vorinstanz zu neuer Entscheidung oder blosse Aufhebungsanträge genügen nicht und machen die Beschwerde unzulässig, sofern ein blosser Rückweisungsantrag nicht ausnahmsweise ausreicht, weil die erforderlichen Sachverhaltsfeststellungen fehlen ( BGE 133 III 489 E. 3.1).</w:t>
      </w:r>
    </w:p>
    <w:p>
      <w:r>
        <w:rPr>
          <w:b/>
        </w:rPr>
        <w:t>E. 1.3.2</w:t>
      </w:r>
    </w:p>
    <w:p>
      <w:r>
        <w:t>Soweit die Beschwerdeführerin die Aufhebung des angefochtenen Entscheids und in der Hauptsache die Gutheissung der Auflösungsklage nach Art. 736 Ziff. 4 OR verlangt, genügen ihre Anträge den Anforderungen an ein reformatorisches Rechtsbegehren. Soweit die Beschwerdeführerin hingegen den vorinstanzlichen Kostenentscheid gesondert, d.h. unabhängig vom Ausgang der Hauptsache anfechten will, indem sie eine Verletzung des Äquivalenzprinzips bzw. des kantonalen Prozessrechts bei der Bestimmung der Gerichtsgebühr und der Parteientschädigung rügt sowie die Verletzung von Art. 706a Abs. 3 OR bei der Kostenverteilung geltend macht, verkennt sie die Anforderungen von Art. 107 Abs. 2 BGG , denn den Beschwerdeanträgen lässt sich kein materieller Antrag auf Abänderung der vorinstanzlichen Kostenregelung entnehmen. Auf die Rügen gegen den Kostenentscheid ist daher nicht einzutreten.</w:t>
      </w:r>
    </w:p>
    <w:p>
      <w:r>
        <w:rPr>
          <w:b/>
        </w:rPr>
        <w:t>E. 1.4.1</w:t>
      </w:r>
    </w:p>
    <w:p>
      <w:r>
        <w:t>Mit der Beschwerde in Zivilsachen kann die Verletzung von Bundesrecht einschliesslich Bundesverfassungsrecht gerügt werden ( Art. 95 lit. a BGG ; BGE 134 III 379 E. 1.2). Nicht zu den in Art. 95 BGG vorgesehenen Rügegründen gehört hingegen die Verletzung der kantonalen Zivilprozessordnung, deren Anwendung und Auslegung vom Bundesgericht einzig unter dem Blickwinkel eines Verstosses gegen Bundesrecht bzw. gegen Bundesverfassungsrecht beurteilt werden kann ( BGE 136 I 241 E. 2.4; 135 III 513 E. 4.3 S. 521; 134 III 379 E. 1.2 S. 382 f.). Auf das Verfahren vor der Vorinstanz fand gemäss Art. 404 Abs. 1 ZPO noch die nunmehr aufgehobene Zivilprozessordnung des Kantons Zürich Anwendung. Soweit die Beschwerdeführerin die Verletzung von Normen des kantonalen Zivilprozessrechts rügen will, hat sie mithin darzutun, dass dabei gleichzeitig ein Verstoss gegen Bundes- bzw. Bundesverfassungsrecht vorliegt.</w:t>
      </w:r>
    </w:p>
    <w:p>
      <w:r>
        <w:rPr>
          <w:b/>
        </w:rPr>
        <w:t>E. 1.4.2</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1.4.3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Die Beschwerdeführerin, welche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1.4.4</w:t>
      </w:r>
    </w:p>
    <w:p>
      <w:r>
        <w:t>Die Beschwerdeführerin verkennt diese Grundsätze in mehrerer Hinsicht, soweit sie sich unter den Titeln "Rechtsfehlerhafte Ausblendung relevanter Tatsachen", "Kein Beweisverfahren bezüglich strittiger Tatsachen" sowie "Das sogenannte MCM-Darlehen" gegen die vorinstanzlichen Sachverhaltsfeststellungen richtet. Die Beschwerdeführerin genügt den strengen Begründungsanforderungen gemäss Art. 106 Abs. 2 BGG nicht, wenn sie der Vorinstanz diverse Verletzungen des kantonalen Zivilprozessrechts (namentlich des Novenrechts) vorwirft, ohne im Einzelnen aufzuzeigen, inwiefern die Vorinstanz dabei gleichzeitig gegen Bundesverfassungsrecht verstossen haben soll. Mit dem lediglich pauschalen Vorwurf, der vom Handelsgericht angeführte Sachverhalt sei "vielfach willkürlich unvollständig" festgestellt worden, kommt die Beschwerdeführerin ihrer Begründungspflicht nicht nach. Dies gilt auch, soweit sich die Beschwerdeführerin an diversen Stellen auf eine Verletzung des rechtlichen Gehörs beruft, ohne dies im Einzelnen und anhand der Erwägungen im angefochtenen Entscheid aufzuzeigen. Auf die Kritik der Beschwerdeführerin am vorinstanzlich festgestellten Sachverhalt ist nicht einzutreten.</w:t>
      </w:r>
    </w:p>
    <w:p>
      <w:r>
        <w:rPr>
          <w:b/>
        </w:rPr>
        <w:t>E. 2</w:t>
      </w:r>
    </w:p>
    <w:p>
      <w:r>
        <w:t>Die Beschwerdeführerin rügt eine Verletzung ihres Anspruchs auf ein unabhängiges und unparteiisches Gericht gemäss Art. 30 Abs.1 BV und Art. 6 Ziff. 1 EMRK .</w:t>
      </w:r>
    </w:p>
    <w:p>
      <w:r>
        <w:t>Nach Auffassung der Beschwerdeführerin drücke der angefochtene Entscheid eine "Klägerin-Verdrossenheit" der Vorinstanz aus. Die Beschwerdeführerin könne sich des Eindrucks nicht erwehren, das Handelsgericht habe "einfach genug" von ihr. Die lange Zeitspanne zwischen der kassationsgerichtlichen Rückweisung vom 20. Juli 2009 und der erneuten Urteilsfällung des Handelsgerichts am 21. Januar 2011 rühre einzig daher, dass die Vorinstanz das Inkrafttreten der neuen eidgenössischen ZPO abwarten wollte, um ihr zweites Urteil der erneuten Überprüfung durch das Kassationsgericht zu entziehen. Nicht alle Mitglieder des Spruchkörpers hätten die für den Fall wesentlichen Akten selbst studiert und sich selbständig eine Meinung gebildet. Es sollte "lange geplant und vorbereitet" am 21. Januar 2011 nur noch das durch die Instruktionsrichterin bezüglich der vom Kassationsgericht aufgedeckten Nichtigkeitsgründe "geflickte" Urteil formal auf eine neue Grundlage gestellt werden. Belege dafür sieht die Beschwerdeführerin unter anderem in den Schreibfehlern des angefochtenen Entscheids, namentlich darin, dass beim Verweis auf Bundesgerichtsentscheide "14 Mal(!) fälschlich 'Baer' steht und nur ein einziges Mal richtig 'BGer'". Weiter wecke auch der nicht nachvollziehbare Kostenentscheid Zweifel an der Unbefangenheit und der Unvoreingenommenheit des Gerichts.</w:t>
      </w:r>
    </w:p>
    <w:p>
      <w:r>
        <w:rPr>
          <w:b/>
        </w:rPr>
        <w:t>E. 2.1</w:t>
      </w:r>
    </w:p>
    <w:p>
      <w:r>
        <w:t>Nach Art. 30 Abs. 1 BV und Art. 6 Ziff. 1 EMRK hat jede Person Anspruch darauf, dass ihre Sache von einem unparteiischen, unvoreingenommenen oder unbefangenen Richter ohne Einwirken sachfremder Umstände entschieden wird. Ob diese Garantien verletzt sind, prüft das Bundesgericht frei.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 135 I 14 E. 2 ; 134 I 238 E. 2.1 S. 240 ; 133 I 1 E. 6.2 ; 131 I 24 E. 1.1; je mit Hinweisen).</w:t>
      </w:r>
    </w:p>
    <w:p>
      <w:r>
        <w:rPr>
          <w:b/>
        </w:rPr>
        <w:t>E. 2.2</w:t>
      </w:r>
    </w:p>
    <w:p>
      <w:r>
        <w:t>Mit ihren Vorbringen vermag die Beschwerdeführerin keine solchen objektiven Umstände darzutun, welche den Anschein der Befangenheit und Voreingenommenheit des Gerichts erwecken würden. So ist nur schwerlich nachvollziehbar, inwiefern einige Schreibfehler in einem über 150 Seiten umfassenden Urteil eine Voreingenommenheit gegenüber der Klägerin belegen sollen. Dass sich die Mitglieder des Spruchkörpers keine unabhängige Meinung gebildet hätten, ist eine Unterstellung, welche die Beschwerdeführerin auch nicht ansatzweise nachzuweisen vermag. Die Vorbringen der Beschwerdeführerin zielen letztlich darauf ab, aus dem Umstand, dass die Vorinstanz ihren Anträgen und Rechtsauffassungen nicht gefolgt ist, eine Befangenheit abzuleiten. Damit vermag die Beschwerdeführerin eine Verletzung von Art. 30 Abs. 1 BV bzw. Art. 6 Ziff. 1 EMRK nicht darzutun.</w:t>
      </w:r>
    </w:p>
    <w:p>
      <w:r>
        <w:rPr>
          <w:b/>
        </w:rPr>
        <w:t>E. 3</w:t>
      </w:r>
    </w:p>
    <w:p>
      <w:r>
        <w:t>Die Beschwerdeführerin wirft der Vorinstanz eine Verletzung von Art. 736 Ziff. 4 OR vor, indem diese die Voraussetzungen einer Auflösung der Beschwerdegegnerin zu Unrecht verneint habe.</w:t>
      </w:r>
    </w:p>
    <w:p>
      <w:r>
        <w:rPr>
          <w:b/>
        </w:rPr>
        <w:t>E. 3.1</w:t>
      </w:r>
    </w:p>
    <w:p>
      <w:r>
        <w:t>Nach Art. 736 Ziff. 4 OR können Aktionäre, die zusammen mindestens zehn Prozent des Aktienkapitals vertreten, vom Gericht aus wichtigen Gründen die Auflösung der Gesellschaft verlangen. Statt derselben kann das Gericht auf eine andere sachgemässe und den Beteiligten zumutbare Lösung erkennen.</w:t>
      </w:r>
    </w:p>
    <w:p>
      <w:r>
        <w:t>Wo das Gesetz das Gericht auf sein Ermessen oder auf die Würdigung der Umstände oder auf wichtige Gründe verweist, hat es seine Entscheidung nach Recht und Billigkeit zu treffen ( Art. 4 ZGB ; BGE 136 III 278 E. 2.2.1 S. 279; 126 III 266 E. 2b S. 273; 105 II 114 E. 6a S. 124). Bei einer solchen Billigkeitsentscheidung verfügt das kantonale Sachgericht über einen weiten Ermessensspielraum. Das Bundesgericht überprüft derartige Ermessensentscheide mit Zurückhaltung und greift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136 III 278 E. 2.2.1 S. 279; 135 III 121 E. 2 S. 123 f. mit Hinweisen).</w:t>
      </w:r>
    </w:p>
    <w:p>
      <w:r>
        <w:rPr>
          <w:b/>
        </w:rPr>
        <w:t>E. 3.2</w:t>
      </w:r>
    </w:p>
    <w:p>
      <w:r>
        <w:t>In einer Aktiengesellschaft werden die wichtigsten Entscheidungen durch die Generalversammlung nach dem Mehrheitsprinzip gefasst ( BGE 136 III 278 E. 2.2.2 S. 279; 67 II 162 E. d S. 166). Treten zwischen den Aktionären Meinungsverschiedenheiten oder Konflikte auf, werden die Entscheide nach dem Willen der Mehrheit getroffen. Dass Konflikte von Dauer sind oder sich wiederholen, rechtfertigt grundsätzlich keine Auflösung der Gesellschaft, denn die Minderheit muss sich den gültig gefassten Entscheiden der Mehrheit unterwerfen ( BGE 136 III 278 E. 2.2.2 S. 279; 104 II 32 E. 3 S. 43; 67 II 162 E. d S. 166). Das Recht einer Aktionärsminderheit, aus wichtigen Gründen die Auflösung der Aktiengesellschaft zu verlangen, soll dem Mehrheitsprinzip etwas von seiner Strenge nehmen ( BGE 136 III 278 E. 2.2.2 S. 279; 109 II 140 E. 4 S. 142). Die Auflösung stellt aber ein eigentliches Notinstrument, eine ultima ratio dar für den Fall, dass die Anwendung des Mehrheitsprinzips zu einer unerträglichen Situation führt; dies trifft im Wesentlichen dann zu, wenn die Mehrheit systematisch entgegen den Gesellschaftsinteressen oder den Rechten und legitimen Interessen der Minderheitsaktionäre handelt. Die Möglichkeit einer Auflösung soll nicht dazu führen, dass das Mehrheitsprinzip ausgehebelt wird; die Frage einer Auflösung stellt sich nicht bereits aufgrund des blossen Umstands, dass eine Minderheit die von der Mehrheit getroffene Entscheidung nicht akzeptieren will ( BGE 136 III 278 E. 2.2.2 S. 280; 126 III 266 E. 1a und 2a; 109 II 140 E. 4 S. 142; 105 II 114 E. 6c S. 125; 104 II 32 E. 1a S. 35).</w:t>
      </w:r>
    </w:p>
    <w:p>
      <w:r>
        <w:t>Die Auflösung ist sodann eine subsidiäre Massnahme, die nicht angeordnet werden darf, solange sich bei einer Prüfung der konkreten Umstände des Einzelfalles zeigt, dass der Minderheitsaktionär seine legitimen Interessen mit weniger einschneidenden Mitteln verteidigen kann, wie z.B. mittels Anfechtung von Generalversammlungsbeschlüssen oder mittels Klagen auf Auskunftserteilung ( BGE 136 III 278 E. 2.2.2 S. 280; 126 III 266 E. 1a und 2a; 109 II 140 E. 4 S. 142; 105 II 114 E. 6c S. 125 und E. 6d S. 126 f.; 104 II 32 E. 1a S. 35; 84 II 44 E. 1 S. 47; 67 II 162 E. d S. 166). Die Auflösung muss verhältnismässig sein, was eine Abwägung aller auf dem Spiel stehenden Interessen voraussetzt ( BGE 136 III 278 E. 2.2.2 S. 280; 105 II 114 E. 7 S. 127). Zu beachten ist dabei nicht nur das Interesse des klagenden Aktionärs, sondern auch das der übrigen Aktionäre am Fortbestand der Gesellschaft ( BGE 136 III 278 E. 2.2.2 S. 280; 105 II 114 E. 7 S. 128), wobei namentlich zu berücksichtigen ist, dass die Aktiengesellschaft eine Kapital- und nicht eine Personengesellschaft ist, so dass - jedenfalls bei grösseren Gesellschaften - grundsätzlich nur die finanziellen Interessen der Aktionäre massgeblich sind ( BGE 136 III 278 E. 2.2.2 S. 280; 67 II 162 E. b S. 164). Am Ende des Abwägungsprozesses muss sich eine Situation präsentieren, die derart gravierend ist, dass der Fortbestand der Gesellschaft nach Treu und Glauben als nicht mehr tragbar erscheint, die beklagte Gesellschaft mithin ihr Existenzrecht verwirkt hat und verschwinden muss ( BGE 136 III 278 E. 2.2.2 S. 280; 67 II 162 E. c S. 165).</w:t>
      </w:r>
    </w:p>
    <w:p>
      <w:r>
        <w:t>Zu den Umständen, welche typischerweise zu einer Auflösung aus wichtigem Grund führen können, gehören in erster Linie das systematische Ausnützen der Mehrheitsmacht entgegen den Interessen der Gesellschaft oder den Rechten und legitimen Interessen der Minderheitsaktionäre ( BGE 136 III 278 E. 2.2.2 S. 280; 126 III 266 E. 1a S. 268; 109 II 140 E. 4 S. 142; 105 II 114 E. 6b S.125; 67 II 162 E. c S. 165), Fälle der Misswirtschaft ( BGE 136 III 278 E. 2.2.2 S. 281; 126 III 266 E. 1b und c; 84 II 44 E. 2 S. 50), die wiederholte Verletzung der Rechte von Minderheitsaktionären, die Verfolgung von Zielen, die vom Gesellschaftszweck nicht gedeckt sind, eine Situation der Blockierung der Organe oder eine finanzielle Aushöhlung der Gesellschaft (Urteil 4C.185/1998 vom 28. August 1998 E. 3a).</w:t>
      </w:r>
    </w:p>
    <w:p>
      <w:r>
        <w:rPr>
          <w:b/>
        </w:rPr>
        <w:t>E. 3.3</w:t>
      </w:r>
    </w:p>
    <w:p>
      <w:r>
        <w:t>Die Vorinstanz hat sich in ihrem Urteil zutreffend auf diese Grundsätze bezogen und - entgegen der Auffassung der Beschwerdeführerin - auf den Seiten 70 - 74 sowie 155 - 157 des angefochtenen Entscheides durchaus eine Gesamtbeurteilung, d.h. eine Abwägung der Interessen an einer Auflösung der Gesellschaft gegen die Interessen am Fortbestand der Gesellschaft vorgenommen. Sie hat dabei darauf hingewiesen, dass die Beschwerdeführerin bereits zahlreiche Verfahren gegen die Beschwerdegegnerin angestrengt habe, damit aber - mit Ausnahme weniger Auskunftsverfahren bezüglich einer Darlehensvergabe durch eine Tochtergesellschaft der Beschwerdegegnerin, der Y.________ AG, sowie einer Klage auf Eintragung ins Aktienbuch - nicht durchgedrungen sei. Zudem habe kein einziges der zahlreichen durch Strafanzeige der Beschwerdeführerin gegen Verwaltungsräte der Beschwerdegegnerin initiierten Strafverfahren zu einer rechtskräftigen Verurteilung geführt. Ein Verfahren betreffend Anfechtung von Generalversammlungsbeschlüssen der Jahre 2000 bis 2004 bezüglich der Wahl der Revisionsstelle und der Konzernprüferin war im Zeitpunkt des vorinstanzlichen Urteils pendent. Gemäss der Vorinstanz bildet die geringe Zahl der zugunsten der Beschwerdeführerin ausgegangenen Verfahren noch kein Indiz für einen Machtmissbrauch der restlichen Aktionäre bzw. des Verwaltungsrats der Beschwerdegegnerin. Weiter wies die Vorinstanz darauf hin, dass es sich bei der Beschwerdegegnerin - auch gemäss eigenen Vorbringen der Beschwerdeführerin - um ein finanziell kerngesundes Unternehmen handle. Den Bilanzgewinn habe die Beschwerdegegnerin jeweils nicht nur zur Ausschüttung von Tantiemen an den Verwaltungsrat, sondern auch zur Ausrichtung einer Dividende an sämtliche Aktionäre verwendet. Die finanziellen Interessen der Beschwerdeführerin als Aktionärin sieht die Vorinstanz durch die Aufrechterhaltung der Gesellschaft nicht in Gefahr. Selbst wenn die von der Beschwerdeführerin behaupteten Rechtsverletzungen zuträfen, vermöchten diese gemäss der Vorinstanz weder einzeln noch in ihrem Zusammenwirken ein Gesamtbild abzugeben, dass von einem internen Funktionsversagen im Zusammenspiel der Organe gesprochen und eine für die Beschwerdeführerin unzumutbare Situation bejaht werden müsste, welche die Auflösung der Beschwerdegegnerin rechtfertigen würde. Dies umso weniger, wenn dazu noch die Interessen der von einer möglichen Auflösung der Beschwerdegegnerin betroffenen weiteren Anspruchsgruppen ("stakeholder") berücksichtigt würden.</w:t>
      </w:r>
    </w:p>
    <w:p>
      <w:r>
        <w:rPr>
          <w:b/>
        </w:rPr>
        <w:t>E. 3.4</w:t>
      </w:r>
    </w:p>
    <w:p>
      <w:r>
        <w:t>Diese Erwägungen sind bundesrechtlich nicht zu beanstanden und auch die Beschwerdeführerin vermag mit ihren auf über 100 Seiten vorgetragenen, weitschweifigen und repetitiven Ausführungen nicht darzutun, dass die Vorinstanz mit ihrer Gesamtbeurteilung das ihr von Art. 736 Ziff. 4 OR eingeräumte Ermessen rechtsfehlerhaft ausgeübt haben soll. Die Beschwerdeführerin versucht zwar wie bereits vor der Vorinstanz, vereinzelte Rechtsverletzungen der Beschwerdegegnerin und deren Organe, darunter namentlich Verstösse gegen das Rechnungslegungsrecht, herauszuarbeiten und hervorzuheben; selbst wenn die behaupteten Rechtsverletzungen im Einzelnen zuträfen, gelingt es der Beschwerdeführerin dabei aber nicht, das Gesamtbild einer derart gravierenden Situation zu zeichnen, welche die krasse Massnahme der Auflösung eines wirtschaftlich gesunden Unternehmen rechtfertigen würde. Denn dass das Interesse der Beschwerdeführerin an der Auflösung der Gesellschaft das Interesse der restlichen Aktionäre am Fortbestand überwiegen würde und die Beschwerdegegnerin geradezu ihr Existenzrecht verloren haben sollte, ergibt sich aus den auf isolierte Rechtsverletzungen fokussierten, über weite Strecken appellatorischen Ausführungen der Beschwerdeführerin nicht.</w:t>
      </w:r>
    </w:p>
    <w:p>
      <w:r>
        <w:rPr>
          <w:b/>
        </w:rPr>
        <w:t>E. 3.5</w:t>
      </w:r>
    </w:p>
    <w:p>
      <w:r>
        <w:t>Die Beschwerdeführerin geht sodann fehl, soweit sie beanstandet, die Vorinstanz habe ihr Ermessen hinsichtlich der Anordnung einer "anderen sachgemässen Lösung" i.S. von Art. 736 Ziff. 4 Satz 2 OR rechtsfehlerhaft nicht ausgeübt. Dies trifft nicht zu, hat die Vorinstanz doch erwähnt, dass auch hinsichtlich einer anderen sachgemässen Lösung kein wichtiger Grund vorliege. Dass dies unzutreffend sein soll, vermag die Beschwerdeführerin nicht darzutun. Sie erwähnt zwar Lösungen, die aus ihrer Sicht sachgemäss wären, so etwa eine Versteigerung der Aktienpakete, ein Rückkauf der Minderheitsbeteiligung durch die Beschwerdegegnerin oder deren asymmetrische Spaltung, zeigt jedoch gestützt auf den vorinstanzlich festgestellten Sachverhalt nicht auf, inwiefern die Eingriffsschwelle des Art. 736 Ziff. 4 OR hinsichtlich dieser Massnahmen gegeben sein soll. Eine bundesrechtswidrige Ermessensausübung der Vorinstanz ist nicht ersichtlich.</w:t>
      </w:r>
    </w:p>
    <w:p>
      <w:r>
        <w:rPr>
          <w:b/>
        </w:rPr>
        <w:t>E. 4</w:t>
      </w:r>
    </w:p>
    <w:p>
      <w:r>
        <w:t>Die Beschwerde erweist sich als unbegründet, soweit auf sie einzutreten ist.</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