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4A_162/2015 vom 9. September 2015</w:t>
      </w:r>
    </w:p>
    <w:p>
      <w:r>
        <w:t>Bundesgericht, 2015-09-09, FR</w:t>
      </w:r>
    </w:p>
    <w:p>
      <w:r>
        <w:rPr>
          <w:b/>
        </w:rPr>
        <w:t xml:space="preserve">Quelle: </w:t>
      </w:r>
      <w:r>
        <w:t>https://mcp.opencaselaw.ch/entscheid/bger_4A_162_2015</w:t>
      </w:r>
    </w:p>
    <w:p>
      <w:r>
        <w:t>FR: TF 4A_162/2015 du 9 septembre 2015</w:t>
      </w:r>
    </w:p>
    <w:p>
      <w:r>
        <w:t>IT: TF 4A_162/2015 del 9 settembre 2015</w:t>
      </w:r>
    </w:p>
    <w:p>
      <w:pPr>
        <w:pStyle w:val="Heading2"/>
      </w:pPr>
      <w:r>
        <w:t>Erwägungen</w:t>
      </w:r>
    </w:p>
    <w:p>
      <w:r>
        <w:rPr>
          <w:b/>
        </w:rPr>
        <w:t>E. 1.1</w:t>
      </w:r>
    </w:p>
    <w:p>
      <w:r>
        <w:t>Le Tribunal fédéral examine d'office la recevabilité des recours qui sont déposés devant lui ( ATF 141 II 113 consid. 1 p. 116: 140 I 252 consid. 1 p. 254).</w:t>
      </w:r>
    </w:p>
    <w:p>
      <w:r>
        <w:rPr>
          <w:b/>
        </w:rPr>
        <w:t>E. 1.2</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t>Il est indubitable que l'arrêt de renvoi rendu par la cour cantonale est une décision incidente, qui ne porte ni sur la compétence ni sur une demande de récusation (cf. art. 92 LTF ), et qui tombe ainsi sous le coup de l' art. 93 LTF . Le recours immédiat suppose donc la réalisation soit de la condition de l' art. 93 al. 1 let. a LTF , soit des conditions cumulatives posées à l' art. 93 al. 1 let. b LTF .</w:t>
      </w:r>
    </w:p>
    <w:p>
      <w:r>
        <w:rPr>
          <w:b/>
        </w:rPr>
        <w:t>E. 2</w:t>
      </w:r>
    </w:p>
    <w:p>
      <w:r>
        <w:t>La recourante se prévaut tout d'abord de l' art. 93 al. 1 let. b LTF . Elle affirme que le Tribunal fédéral, s'il parvenait à une solution inverse de la Cour d'appel, constaterait l'absence de préjudice de l'intimé, ainsi que le défaut de réalisation des autres conditions de sa responsabilité, ce qui mettrait fin au procès. Une procédure longue et onéreuse pourrait être évitée, car chiffrer le dommage exigerait d'ordonner une expertise judiciaire complexe sur l'estimation d'une centaine de tableaux réalisés par des artistes africains, oeuvres qui ne sont pas référencées sur le marché de l'art.</w:t>
      </w:r>
    </w:p>
    <w:p>
      <w:r>
        <w:rPr>
          <w:b/>
        </w:rPr>
        <w:t>E. 2.1</w:t>
      </w:r>
    </w:p>
    <w:p>
      <w:r>
        <w:t>La première des deux conditions cumulatives mentionnées à l' art. 93 al. 1 let. b LTF est réalisée en l'espèce. En effet, si le Tribunal fédéral devait juger, contrairement à la cour cantonale, que l'intimé n'a pas subi de dommage dont la bailleresse devrait répondre, il pourrait rendre immédiatement une décision finale en rejetant la demande.</w:t>
      </w:r>
    </w:p>
    <w:p>
      <w:r>
        <w:rPr>
          <w:b/>
        </w:rPr>
        <w:t>E. 2.2</w:t>
      </w:r>
    </w:p>
    <w:p>
      <w:r>
        <w:t>Quant à la seconde condition instaurée par la norme précitée,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4A_288/2015 du 9 juin 2015 consid. 2.2; 4A_464/2012 du 11 septembre 2012 consid. 2.2).</w:t>
      </w:r>
    </w:p>
    <w:p>
      <w:r>
        <w:t>En l'espèce, il n'apparaît pas que le calcul du dommage subi par le locataire nécessite une instruction lourde. L'évaluation des tableaux détruits ou endommagés exigera certes une expertise judiciaire, qui devra déterminer la cote des différents artistes (pour ceux qui en avaient une), la qualité de leurs oeuvres et l'état du marché de l'art. On ne voit pas que la réalisation d'une telle expertise soit particulièrement complexe. Qu'il y ait une centaine de tableaux à évaluer ne rend pas l'expertise particulièrement compliquée, dès l'instant où il ressort de l'expertise hors procès que la plupart des artistes n'avaient pas de référence sur le marché de l'art (cf. p. 7 de l'arrêt cantonal).</w:t>
      </w:r>
    </w:p>
    <w:p>
      <w:r>
        <w:t>Il suit de là que la seconde condition de l' art. 93 al. 1 let. b LTF n'est pas satisfaite.</w:t>
      </w:r>
    </w:p>
    <w:p>
      <w:r>
        <w:rPr>
          <w:b/>
        </w:rPr>
        <w:t>E. 3</w:t>
      </w:r>
    </w:p>
    <w:p>
      <w:r>
        <w:t>La recourante invoque également l' art. 93 al. 1 let. a LTF . Elle déclare que l'arrêt de renvoi lui cause un préjudice irréparable, car elle devra supporter les frais d'avocat de toute la phase d'instruction et verser les frais et dépens auxquels cette décision incidente l'a condamnée.</w:t>
      </w:r>
    </w:p>
    <w:p>
      <w:r>
        <w:rPr>
          <w:b/>
        </w:rPr>
        <w:t>E. 3.1</w:t>
      </w:r>
    </w:p>
    <w:p>
      <w:r>
        <w:t>D'après l' art. 93 al. 1 let. a LTF , le recours n'est recevable que si la décision entreprise peut causer un préjudice irréparable.</w:t>
      </w:r>
    </w:p>
    <w:p>
      <w:r>
        <w:t>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En particulier, si la question qui a fait l'objet de la décision incidente de première instance peut être soulevée à l'appui d'un recours contre la décision finale ( art. 93 al. 3 LTF ), il n'y a pas de préjudice irréparable. Cette réglementation est aussi fondée sur des motifs d'économie de procédure. Il incombe au recourant de démontrer l'existence d'un tel préjudice lorsque celui-ci n'est pas d'emblée évident ( ATF 141 III 80 consid. 1.2 et les arrêts cités).</w:t>
      </w:r>
    </w:p>
    <w:p>
      <w:r>
        <w:rPr>
          <w:b/>
        </w:rPr>
        <w:t>E. 3.2</w:t>
      </w:r>
    </w:p>
    <w:p>
      <w:r>
        <w:t>L'instruction qu'il appartiendra aux premiers juges de mener sur les conditions de la responsabilité - contractuelle et délictuelle - de la bailleresse aura certes, comme l'affirme la recourante, l'effet de renchérir la procédure. Il s'agit pourtant là d'un inconvénient de pur fait qui découle tout naturellement de la continuation de l'instance ( ATF 137 III 380 consid. 1.2.1 p. 382).</w:t>
      </w:r>
    </w:p>
    <w:p>
      <w:r>
        <w:t>Il est en outre de jurisprudence que le prononcé accessoire sur les frais et dépens contenu dans une décision incidente n'est pas de nature à causer un préjudice juridique irréparable ( ATF 138 III 46 consid. 1.2 p. 47 in fine et l'arrêt cité).</w:t>
      </w:r>
    </w:p>
    <w:p>
      <w:r>
        <w:t>La condition du préjudice irréparable de l' art. 93 al. 1 let. a LTF n'est pas réalisée.</w:t>
      </w:r>
    </w:p>
    <w:p>
      <w:r>
        <w:rPr>
          <w:b/>
        </w:rPr>
        <w:t>E. 4</w:t>
      </w:r>
    </w:p>
    <w:p>
      <w:r>
        <w:t>En définitive, l'arrêt attaqué ne peut pas faire l'objet d'un recours immédiat au Tribunal fédéral.</w:t>
      </w:r>
    </w:p>
    <w:p>
      <w:r>
        <w:t>Il suit de là que le recours doit être déclaré irrecevable aux frais de son auteur ( art. 66 al. 1 LTF ). La recourante devra également verser une indemnité de dépens à l'intimé ( art. 68 al. 1 et 2 LTF ). La requête d'assistance judiciaire de celui-ci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