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4A_161/2008 vom 1. Juli 2008</w:t>
      </w:r>
    </w:p>
    <w:p>
      <w:r>
        <w:t>Bundesgericht, 2008-07-01, FR</w:t>
      </w:r>
    </w:p>
    <w:p>
      <w:r>
        <w:rPr>
          <w:b/>
        </w:rPr>
        <w:t xml:space="preserve">Quelle: </w:t>
      </w:r>
      <w:r>
        <w:t>https://mcp.opencaselaw.ch/entscheid/bger_4A_161_2008</w:t>
      </w:r>
    </w:p>
    <w:p>
      <w:r>
        <w:t>FR: TF 4A_161/2008 du 1 juillet 2008</w:t>
      </w:r>
    </w:p>
    <w:p>
      <w:r>
        <w:t>IT: TF 4A_161/2008 del 1 luglio 2008</w:t>
      </w:r>
    </w:p>
    <w:p>
      <w:pPr>
        <w:pStyle w:val="Heading2"/>
      </w:pPr>
      <w:r>
        <w:t>Erwägungen</w:t>
      </w:r>
    </w:p>
    <w:p>
      <w:r>
        <w:rPr>
          <w:b/>
        </w:rPr>
        <w:t>E. 1</w:t>
      </w:r>
    </w:p>
    <w:p>
      <w:r>
        <w:t>Le recours est dirigé contre une décision concernant l'exécution d'un jugement rendu en matière civile (art. 72 al. 2 let. b ch. 1 LTF), finale ( art. 90 LTF ) et prise en dernière instance cantonale ( art. 75 al. 1 LTF ). La valeur litigieuse excède le minimum légal de 30'000 fr. (art. 51 al. 1 let. a et 74 al. 1 let. b LTF). Le recours est formé par une partie qui a pris part à l'instance précédente et succombé dans ses conclusions ( art. 76 al. 1 LTF ). Introduit en temps utile ( art. 100 al. 1 LTF ) et dans les formes requises (art. 42 al. 1 à 3 LTF), le recours est en principe recevable.</w:t>
      </w:r>
    </w:p>
    <w:p>
      <w:r>
        <w:t>Le recours peut être exercé pour violation du droit fédéral ou international ( art. 95 let. a et b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même arrêt, consid. 1.4.2). Dans une contestation pécuniaire, le Tribunal fédéral ne contrôle pas l'application du droit étranger qui est, le cas échéant, désigné par le droit international privé suisse ( art. 96 LTF ).</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contester, outre l'application du droit,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130 I 258 consid. 1.3 p. 261/262; 125 I 492 consid. 1b p. 495).</w:t>
      </w:r>
    </w:p>
    <w:p>
      <w:r>
        <w:rPr>
          <w:b/>
        </w:rPr>
        <w:t>E. 2</w:t>
      </w:r>
    </w:p>
    <w:p>
      <w:r>
        <w:t>L'intimé tient le recours pour irrecevable au motif que, selon ses allégations, le jugement britannique du 10 avril 2006 était une décision provisoire, actuellement caduque car remplacée, depuis, par un jugement définitif. A supposer qu'elle soit dûment constatée, cette circonstance devrait peut-être entraîner le refus de l'exécution en Suisse; elle constituerait alors un motif additionnel du refus déjà prononcé par la Cour de justice. Pour le surplus, on ne voit pas en quoi ladite circonstance empêcherait que le Tribunal fédéral puisse être saisi de cette affaire, et l'intimé ne l'indique d'ailleurs pas. Il s'ensuit que les conclusions tendant à l'irrecevabilité du recours sont privées de fondement.</w:t>
      </w:r>
    </w:p>
    <w:p>
      <w:r>
        <w:rPr>
          <w:b/>
        </w:rPr>
        <w:t>E. 3</w:t>
      </w:r>
    </w:p>
    <w:p>
      <w:r>
        <w:t>La Suisse et la Grande-Bretagne sont l'une et l'autre parties à la Convention de Lugano concernant la compétence judiciaire et l'exécution des décisions en matière civile et commerciale (CL; RS 0.275.11). Conformément à l'art. 1er al. 2 de la loi fédérale sur le droit international privé (LDIP), les dispositions de la Convention priment les règles du droit interne en matière de reconnaissance et d'exécution des décisions étrangères.</w:t>
      </w:r>
    </w:p>
    <w:p>
      <w:r>
        <w:rPr>
          <w:b/>
        </w:rPr>
        <w:t>E. 3.1</w:t>
      </w:r>
    </w:p>
    <w:p>
      <w:r>
        <w:t>Aux termes des art. 27 ch. 2 et 34 al. 2 CL , la demande d'exécution d'une décision étrangère - c'est-à-dire provenant d'un Etat partie à la Convention, autre que celui où l'exécution est entreprise - ne peut être rejetée que pour l'un des motifs propres à empêcher la reconnaissance de cette même décision (art. 34 al. 2), et une décision étrangère n'est pas reconnue si, parmi d'autres cas, l'acte introductif d'instance, ou un acte équivalent, n'a pas été signifié ou notifié au défendeur défaillant, régulièrement et en temps utile pour qu'il puisse se défendre (art. 27 ch. 2). En l'espèce, il est incontesté que l'intimé a fait défaut dans l'instance au cours, ou à l'issue de laquelle le jugement du 10 avril 2006 a été prononcé, et le point litigieux a pour objet de vérifier si la notification de l'acte introductif de cette instance, effectuée à Beyrouth le 8 mars 2006, satisfaisait à l'exigence de la régularité posée par l' art. 27 ch. 2 CL .</w:t>
      </w:r>
    </w:p>
    <w:p>
      <w:r>
        <w:t>La Convention de Lugano ne précise pas au regard de quelles règles il faut vérifier la régularité de la notification. Il s'agit du droit de l'Etat où la décision a été prononcée, lorsque la notification a été faite sur son territoire (Reinhold Geimer et Rolf Schütze, Europäisches Zivilverfahrensrecht: Kommentar zum [...] Lugano-Übereinkommen [...], 2e éd., Munich 2004, ch. 130 p. 567). Si, comme en l'espèce, la notification s'est faite dans un Etat qui n'est ni celui d'origine ni celui d'exécution, il faut tenir compte au premier chef du droit international applicable aux notifications judiciaires de l'Etat d'origine dans cet Etat tiers. A défaut de règle internationale spécifique, il faut s'en tenir aux principes généraux concernant les notifications judiciaires d'un Etat dans un autre Etat.</w:t>
      </w:r>
    </w:p>
    <w:p>
      <w:r>
        <w:t>De la souveraineté des Etats, il résulte que chacun d'eux a la compétence exclusive d'accomplir des actes de puissance publique sur son propre territoire (Andreas Ziegler, Introduction au droit international public, Berne 2006, ch. 632 p. 268; Torsten Stein et Christian von Buttlar, Völkerrecht, 11e éd., Cologne 2005, ch. 537 p. 198). En règle générale, un Etat ne peut pas accomplir d'acte de ce genre dans les frontières d'un autre Etat sans en violer la souveraineté et, partant, sans violer le droit international (Patrick Daillier et Alain Pellet, Droit international public, 7e éd., Paris 2002, ch. 308 et 309 p. 479). L'acte n'est compatible avec ce droit que s'il est admis par une règle internationale spécifique, par exemple convenue dans un traité conclu entre les Etats concernés, ou s'il est unilatéralement toléré par l'Etat dans lequel il s'exécute. Ces principes concernent notamment les notifications judiciaires (Walter Kälin et al., Völkerrecht: eine Einführung, 2e éd., Berne 2006, p. 178; Stein/von Buttlar, op. cit., ch. 539). S'il advient qu'une autorité suisse effectue une notification à l'étranger sans y être autorisée par le droit international, cette notification est nulle au regard du droit interne suisse, en raison de la primauté de ce droit-là ( ATF 57 III 26 ; voir aussi ATF 103 III 1 consid. 2 p. 4; 126 I 36 consid. 2b p. 41; 131 III 448 consid. 2.1). De plus, au nombre des délits de nature à compromettre les relations extérieures de la Suisse, l'acte officiel à l'étranger est éventuellement punissable selon l' art. 299 ch. 1 al. 1 CP .</w:t>
      </w:r>
    </w:p>
    <w:p>
      <w:r>
        <w:rPr>
          <w:b/>
        </w:rPr>
        <w:t>E. 3.2</w:t>
      </w:r>
    </w:p>
    <w:p>
      <w:r>
        <w:t>Selon l'arrêt de la Cour de justice, en matière d'entraide judiciaire civile, il n'existe aucune convention internationale à laquelle la Grande-Bretagne et le Liban soient tous deux parties. Considérant la procédure effectivement suivie pour la notification du commandement de payer dans la poursuite n° 1, d'une part, et un avis de droit d'autre part, la Cour retient que le Liban n'autorise pas les notifications judiciaires provenant de l'étranger; celles-ci ne peuvent être accomplies que par les autorités locales, sur demande présentée par la voie diplomatique au ministère des affaires étrangères. De cela, la Cour déduit avec raison que la notification du 8 mars 2006, éludant les modalités en usage avec le Liban, était contraire au droit international et contrevenait à l'une des exigences de l' art. 27 ch. 2 CL .</w:t>
      </w:r>
    </w:p>
    <w:p>
      <w:r>
        <w:t>La recourante se plaint d'une constatation manifestement inexacte de la teneur du droit libanais. Elle se réfère à une décision intervenue dans une procédure pénale au Liban, d'où il ressort que l'avocat libanais de cette partie a attesté par écrit, à l'intention du tribunal britannique, que la notification du 8 mars 2006 avait été effectuée « conformément au code de procédure civile ». Cela ne parvient évidemment pas à révéler une erreur flagrante dans l'appréciation des preuves destinées à établir le contenu du droit étranger.</w:t>
      </w:r>
    </w:p>
    <w:p>
      <w:r>
        <w:rPr>
          <w:b/>
        </w:rPr>
        <w:t>E. 4</w:t>
      </w:r>
    </w:p>
    <w:p>
      <w:r>
        <w:t>La recourante reproche à la Cour de justice d'avoir constaté les faits de manière manifestement incomplète. Selon son argumentation, cette autorité aurait dû constater que la notification du 8 mars 2006, à Beyrouth, avait atteint son destinataire et l'avait mis en mesure de prendre part au procès, en dépit de l'éventuelle irrégularité; sur la base de cette constatation, la Cour aurait dû retenir que l'intimé commet un abus de droit en excipant de ladite irrégularité.</w:t>
      </w:r>
    </w:p>
    <w:p>
      <w:r>
        <w:rPr>
          <w:b/>
        </w:rPr>
        <w:t>E. 4.1</w:t>
      </w:r>
    </w:p>
    <w:p>
      <w:r>
        <w:t>Il est exact que selon la jurisprudence du Tribunal fédéral, une notification défectueuse, si elle a atteint son but, produit ses effets en dépit de l'irrégularité; on rattache ce principe aux règles de la bonne foi, consacrées en droit fédéral par l' art. 2 CC , ou à l'interdiction du formalisme excessif qui résulte de l' art. 29 al. 1 Cst. ( ATF 132 I 249 consid. 6 et 7 p. 253). Toutefois, ledit principe ne saurait être transposé sans plus de discussion au cas où l'irrégularité consiste, comme en l'espèce, dans la violation de la souveraineté d'un Etat étranger. Le Tribunal fédéral a d'ailleurs souligné que l'irrégularité doit, d'abord, n'avoir lésé aucun intérêt public (même arrêt, consid. 7 in fine), de sorte que le but de la notification n'est pas seul déterminant.</w:t>
      </w:r>
    </w:p>
    <w:p>
      <w:r>
        <w:t>La notification faite en violation de la souveraineté étrangère est entachée d'une nullité absolue, en ce sens que le destinataire peut s'en prévaloir même s'il n'a pas usé de la voie de recours éventuellement disponible contre l'acte concerné ( ATF 57 III 26 consid. 4 p. 30; 131 III 448 consid. 2.1). Compte tenu que la nullité absolue d'actes officiels n'est admise qu'avec circonspection, en particulier lorsqu'elle pourrait sérieusement compromettre la sécurité des rapports juridiques ( ATF 130 III 430 consid. 3.3 p. 434; 133 II 366 consid. 3.2 p. 367), le respect dû aux autres Etats se présente comme un principe très important du droit public de la Suisse. Le refus d'exécuter le jugement du 10 avril 2006 se justifie donc, de ce point de vue, alors même que l'intimé se prévaut peut-être abusivement, c'est-à-dire sans être personnellement lésé dans un intérêt légitime, d'une notification irrégulière au Liban.</w:t>
      </w:r>
    </w:p>
    <w:p>
      <w:r>
        <w:rPr>
          <w:b/>
        </w:rPr>
        <w:t>E. 4.2</w:t>
      </w:r>
    </w:p>
    <w:p>
      <w:r>
        <w:t>La recourante décrit les effets insatisfaisants, du point de vue de la coopération judiciaire internationale, qu'entraîne l'exigence d'une notification régulière posée à l' art. 27 ch. 2 CL , précisément en raison des possibilités d'abus que, trop fréquemment, cette exigence spécifique offre à la partie contre qui l'exécution est demandée (Geimer/Schütze, op. cit., ch. 74 et 75 p. 556; Monique Jametti Greiner, L'espace judiciaire européen en matière civile [...], in Convention de Lugano: passé, présent et devenir, Genève 2007, p. 11, 17 à 19). La recourante fait valoir qu'en raison de ces difficultés, l'Union européenne a aboli ladite exigence dans le règlement n° 44/2001 correspondant, entre ses Etats membres, à la Convention de Lugano (art. 34 ch. 2; Geimer/Schütze, op. cit., ch. 71 p. 555). Elle fait valoir que cette même exigence est aussi supprimée dans la Convention de Lugano révisée, signée le 30 octobre 2007, actuellement soumise à la procédure de consultation en vue de sa ratification par la Suisse (FF 2008 p. 4534; Jametti Greiner, ibid.). La recourante soutient qu'au regard de cette évolution, l' art. 27 ch. 2 CL doit être interprété et appliqué en fonction de son but, soit vérifier que la partie recherchée ait été réellement appelée au procès, sans s'arrêter aux éventuels vices de formes qui n'ont eu aucune incidence sur ce résultat. Cette approche est d'ailleurs aussi préconisée en doctrine (Geimer/Schütze, op. cit., ch. 91 à 93 p. 560).</w:t>
      </w:r>
    </w:p>
    <w:p>
      <w:r>
        <w:t>La Suisse a la faculté de déclarer, si elle ratifie la Convention révisée, qu'elle n'appliquera pas l'un des passages de l'art. 34 ch. 2 concernant la reconnaissance des décisions prises par défaut (art. III ch. 1 du protocole n° 1 annexé à la Convention). Cela ne vise cependant pas l'exigence d'une notification régulière de l'acte introductif d'instance, de sorte que même en usant de la réserve ainsi prévue, la Suisse renoncera elle aussi, comme les autres Etats parties à la Convention, à cet élément du régime actuel.</w:t>
      </w:r>
    </w:p>
    <w:p>
      <w:r>
        <w:t>Quel que soit l'avenir des règles conventionnelles concernant la reconnaissance des décisions prises par défaut, la version initiale de la Convention de Lugano continue de lier la Suisse et il ne se justifie pas d'anticiper l'entrée en vigueur de la Convention révisée. Les impératifs de l' art. 27 ch. 2 CL sont donc déterminants dans la présente affaire. Aux difficultés et critiques que l'exigence d'une notification régulière a suscitées, les Etats parties réagissent par une adaptation formelle de la Convention, dans le cadre des travaux de révision qui se sont terminés le 30 octobre 2007. Il faut en déduire que selon la conception la plus répandue parmi ces Etats, les difficultés rencontrées ne peuvent pas être résolues au moyen d'une interprétation nouvelle de l' art. 27 ch. 2 CL , et que la thèse défendue par la recourante, à ce sujet, est donc incompatible avec le droit international actuel. Le refus d'exécuter le jugement rendu le 10 avril 2006, en tant que cette exécution dépend de la notification intervenue à Beyrouth le 8 mars de la même année, est au contraire conforme à ce droit.</w:t>
      </w:r>
    </w:p>
    <w:p>
      <w:r>
        <w:rPr>
          <w:b/>
        </w:rPr>
        <w:t>E. 4.3</w:t>
      </w:r>
    </w:p>
    <w:p>
      <w:r>
        <w:t>En définitive, les faits allégués par la recourante, que celle-ci prétend avoir prouvés, ne peuvent pas influer sur l'issue de la cause; le moyen tiré de l' art. 97 al. 1 LTF est donc mal fondé.</w:t>
      </w:r>
    </w:p>
    <w:p>
      <w:r>
        <w:rPr>
          <w:b/>
        </w:rPr>
        <w:t>E. 5</w:t>
      </w:r>
    </w:p>
    <w:p>
      <w:r>
        <w:t>Selon les constatations cantonales, l'intimé est le sociétaire unique et l'ayant droit économique de Z.________ Sàrl, inscrite au registre du commerce du Luxembourg. Cette personne morale était partie demanderesse dans le procès en Grande-Bretagne. Le 16 octobre 2005, la recourante a obtenu l'autorisation d'appeler l'intimé en cause dans une instance qui concernait la taxation des frais. Le 16 novembre 2005, la recourante a obtenu la condamnation de Z.________ Sàrl au paiement de 650'000 livres; la décision laissait en suspens la prétention élevée aussi contre l'intimé car celui-ci n'avait pas été assigné. Présentement, la recourante reproche à la Cour de justice de n'avoir pas constaté que l'intimé, par cette dernière décision contre laquelle la société qu'il dominait a recouru, a nécessairement eu connaissance de l'instance entreprise contre lui personnellement. Là encore, la recourante cherche à démontrer que l'intimé commet un abus de droit en excipant de l'irrégularité de la notification reçue à Beyrouth.</w:t>
      </w:r>
    </w:p>
    <w:p>
      <w:r>
        <w:t>En droit suisse, il est admis que la dualité juridique d'une société anonyme et de son actionnaire unique ne doit pas être prise en considération lorsqu'il y a abus de droit à l'invoquer ( ATF 132 III 737 consid. 2.3 p. 742; 132 III 489 consid. 3.2 p. 493). La recourante se réfère à ce principe. Le droit suisse ne semble cependant pas applicable aux rapports de la recourante, de l'intimé et de Z.________ Sàrl dans le procès en Grande-Bretagne.</w:t>
      </w:r>
    </w:p>
    <w:p>
      <w:r>
        <w:t>Au delà de cette difficulté, l'argumentation présentée serait éventuellement digne de considération s'il était établi que Z.________ Sàrl et l'intimé eussent été recherchés simultanément devant le juge britannique, et que la société eût reçu une notification satisfaisant à toutes les exigences de l' art. 27 ch. 2 CL . A première vue, la notification faite au Liban, viciée, n'aurait alors plus d'importance du point de vue de l'exécution demandée en Suisse. Mais cette hypothèse ne correspond pas aux circonstances réelles de l'affaire. La décision du 16 novembre 2005, condamnant Z.________ Sàrl et, semble-t-il, reçue par elle, mentionnait aussi la prétention élevée contre l'intimé, mais elle n'était pas un acte introductif de l'instance dirigée contre ce dernier (cf. Geimer/Schütze, op. cit., ch. 117 p. 565 et 123 p. 566). Au regard de l' art. 27 ch. 2 CL , il ne suffit pas que le défendeur défaillant ait simplement connu l'instance par un accident quelconque, sans rapport avec une notification destinée à l'appeler devant le juge.</w:t>
      </w:r>
    </w:p>
    <w:p>
      <w:r>
        <w:rPr>
          <w:b/>
        </w:rPr>
        <w:t>E. 6</w:t>
      </w:r>
    </w:p>
    <w:p>
      <w:r>
        <w:t>Le recours se révèle mal fondé,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