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4A_160/2025 vom 28. August 2025</w:t>
      </w:r>
    </w:p>
    <w:p>
      <w:r>
        <w:t>Bundesgericht, 2025-08-28, DE</w:t>
      </w:r>
    </w:p>
    <w:p>
      <w:r>
        <w:rPr>
          <w:b/>
        </w:rPr>
        <w:t xml:space="preserve">Quelle: </w:t>
      </w:r>
      <w:r>
        <w:t>https://mcp.opencaselaw.ch/entscheid/bger_4A_160_2025</w:t>
      </w:r>
    </w:p>
    <w:p>
      <w:r>
        <w:t>FR: TF 4A_160/2025 du 28 août 2025</w:t>
      </w:r>
    </w:p>
    <w:p>
      <w:r>
        <w:t>IT: TF 4A_160/2025 del 28 agosto 2025</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Teilentscheid ( Art. 91 BGG ) eines oberen kantonalen Gerichts, das als Rechtsmittelinstanz entschieden hat ( Art. 75 Abs. 1 BGG ). Der Beschwerdeführer ist mit seinen Anträgen teilweise unterlegen ( Art. 76 Abs. 1 BGG ), der Streitwert ist erreicht ( Art. 74 Abs. 1 lit. b BGG ) und die Beschwerdefrist ( Art. 100 Abs. 1 BGG ) ist eingehalten.</w:t>
      </w:r>
    </w:p>
    <w:p>
      <w:r>
        <w:t>Der Beschwerdeführer beantragt, der angefochtene Entscheid des Appellationsgerichts sei aufzuheben und der erstinstanzliche Teilentscheid des Zivilgerichts sei zu bestätigen. Der Antrag kann nach Treu und Glauben nur so verstanden werden, dass seinem Klagebegehren Ziffer 1 im Umfang der (Teil-) Gutheissung durch die Erstinstanz gemäss Teilurteil vom 9. November 2023 stattgegeben werden soll. Entgegen der in der Beschwerdeantwort vertretenen Ansicht ist aufgrund des Antrags nicht unklar, wie das Bundesgericht entscheiden soll.</w:t>
      </w:r>
    </w:p>
    <w:p>
      <w:r>
        <w:t>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darüber hinausgeht, können seine Ausführungen nicht berücksichtigt werden. Dies gilt insbesondere für seine Ausführungen zum Mäklervertrag im Zusammenhang mit dem Verkauf des Grundstücks in V.________.</w:t>
      </w:r>
    </w:p>
    <w:p>
      <w:r>
        <w:rPr>
          <w:b/>
        </w:rPr>
        <w:t>E. 2</w:t>
      </w:r>
    </w:p>
    <w:p>
      <w:r>
        <w:t>Für die vom Beschwerdeführer beantragte (präventive) Anordnung zur Spruchkörperbildung des Appellationsgerichts im Falle einer möglichen Berufung gegen das erstinstanzliche Urteil im nachgelagerten Forderungsprozess (Antrags-Ziffer 2) besteht keine Grundlage. Allfällige Anträge betreffend Ausstand von Gerichtspersonen wegen angeblicher Vorbefassung sind beim betreffenden Gericht zu stellen.</w:t>
      </w:r>
    </w:p>
    <w:p>
      <w:r>
        <w:rPr>
          <w:b/>
        </w:rPr>
        <w:t>E. 3</w:t>
      </w:r>
    </w:p>
    <w:p>
      <w:r>
        <w:t>Der Beschwerdeführer rügt, die Vorinstanz habe zu Unrecht eine Verwirkung der Mehrheit der geltend gemachten Rechenschaftsansprüchen bejaht und damit Art. 2 ZGB und Art. 400 OR verletzt. Diese Rüge ist begründet:</w:t>
      </w:r>
    </w:p>
    <w:p>
      <w:r>
        <w:rPr>
          <w:b/>
        </w:rPr>
        <w:t>E. 3.1</w:t>
      </w:r>
    </w:p>
    <w:p>
      <w:r>
        <w:t>Die Vorinstanz erwog, der Kläger habe die eingeklagten Ansprüche auf Rechenschaftsablegung aus einem oder mehreren allfälligen Auftragsverhältnissen zwischen dem Kläger und der Beklagten betreffend Organisationsleistungen, Einsätze als "Personal Assistant", Erledigung des Zahlungsverkehrs, Zahlungen mit der Debit- und der Kreditkarte und/oder persönliche Angelegenheiten während Jahren nicht erhoben, ohne zu erkennen zu geben, dass er sich dies für später vorbehalte. Zudem sei keine neue Tatsache erstellt, die Erklärungen betreffend die bisherige Ausführung des oder der allfälligen Aufträge rechtfertigen würde oder geeignet wäre, Zweifel an der Zuverlässigkeit der Beklagten oder ihrer allfälligen Geschäftsführung zu erwecken. Daher stelle die Geltendmachung der eingeklagten Rechenschaftsansprüche gemäss den Absätzen 1 und 2 des Rechtsbegehrens 1 - unter Vorbehalt der mit Absatz 2 Spiegelstrich 5 verlangten Rechenschaft - einen offenbaren Rechtsmissbrauch dar, der gemäss Art. 2 Abs. 2 ZGB keinen Rechtsschutz verdiene. Der Kläger habe seine allfälligen diesbezüglichen Rechenschaftsansprüche damit verwirkt.</w:t>
      </w:r>
    </w:p>
    <w:p>
      <w:r>
        <w:rPr>
          <w:b/>
        </w:rPr>
        <w:t>E. 3.2.1</w:t>
      </w:r>
    </w:p>
    <w:p>
      <w:r>
        <w:t>Nach Art. 400 Abs. 1 OR ist der Beauftragte unter anderem verpflichtet, auf Verlangen jederzeit über seine Geschäftsführung Rechenschaft abzulegen. Die Rechenschaftspflicht des Beauftragen soll dem Auftraggeber die Kontrolle über seine Tätigkeiten ermöglichen ( BGE 146 III 435 E. 4.1.3.1; 143 III 348 E. 5.1.1; 139 III 49 E. 4.1.2).</w:t>
      </w:r>
    </w:p>
    <w:p>
      <w:r>
        <w:t>Der Anspruch des Auftraggebers auf Rechenschaftsablegung findet seine Grenzen im Grundsatz von Treu und Glauben ( BGE 143 III 348 E. 5.1.1; 139 III 49 E. 4.1.2). Gemäss Art. 2 Abs. 2 ZGB findet der offenbare Missbrauch eines Rechts keinen Rechtsschutz. Die Norm dient als korrigierender "Notbehelf" für die Fälle, in denen formales Recht zu materiell krassem Unrecht führen würde ( BGE 140 III 583 E. 3.2.4; 134 III 52 E. 2.1). Wie das im Gesetzestext verwendete Adjektiv "offenbar" zeigt, ist Rechtsmissbrauch nur zurückhaltend - eben bloss in offenkundigen Fällen - zu bejahen ( BGE 140 III 583 E. 3.2.4; 135 III 162 E. 3.3.1). Ob ein Rechtsmissbrauch vorliegt, ist anhand der konkreten Umstände des Einzelfalls zu bestimmen ( BGE 140 III 491 E. 4.2.4; 138 III 425 E. 5.2; 135 III 162 E. 3.3.1). Rechtsmissbrauch liegt vor, wenn die Ausübung des Rechts durch den Berechtigten kein schutzwürdiges Interesse erfüllt, rein schikanös ist oder Interessen dient, die nicht denen entsprechen, die mit der Rechtsnorm geschützt werden sollen ( BGE 141 III 119 E. 7.1.1).</w:t>
      </w:r>
    </w:p>
    <w:p>
      <w:r>
        <w:t>Der Anspruch auf Rechenschaftslegung ist somit nicht schutzwürdig, wenn der Auftraggeber bereits über die erforderlichen Informationen verfügt oder diese durch Einsichtnahme in seine eigenen Unterlagen erhalten könnte, während der Beauftragte sie nur unter grössten Schwierigkeiten beschaffen könnte ( BGE 139 III 49 E. 4.5.2; Urteile 4A_436/2020 vom 28. April 2022 E. 5; 4A_599/2019 vom 1. März 2021 E. 5). Dasselbe gilt, wenn der Auftraggeber den Anspruch auf Rechenschaftsablegung jahrelang nicht erhoben hat, ohne Vorbehalte zu äussern, und keine neuen Umstände eingetreten sind, die Erklärungen zur Ausführung des Auftrags rechtfertigen würden, beispielsweise wenn der Auftraggeber lange Zeit die ihm vorgelegten Honorarabrechnungen nie beanstandet hat und plötzlich im Rahmen eines Rechtsstreits nähere Angaben dazu verlangt (Urteile 4A_436/2020 vom 28. April 2022 E. 5; 4A_599/2019 vom 1. März 2021 E. 5; 4A_144/2012 vom 11. September 2012 E. 3.2.2).</w:t>
      </w:r>
    </w:p>
    <w:p>
      <w:r>
        <w:rPr>
          <w:b/>
        </w:rPr>
        <w:t>E. 3.2.2</w:t>
      </w:r>
    </w:p>
    <w:p>
      <w:r>
        <w:t>Die Vorinstanz weist zwar unter Hinweis auf die bundesgerichtliche Rechtsprechung grundsätzlich zutreffend darauf hin, dass das jahrelange Zuwarten mit der Geltendmachung des Rechenschaftsanspruchs im Einzelfall missbräuchlich sein kann. Sie unterlässt es aber, die Umstände des konkreten Falls im Rahmen einer Gesamtwürdigung korrekt zu berücksichtigen. Im Gegensatz dazu führte das Zivilgericht unter Berücksichtigung der Art und Weise des zwischen den Parteien eingegangenen Auftragsverhältnisses und der damit einhergehenden Sorgfaltspflichten wie auch des sich verschlechternden Gesundheitszustands des Beschwerdeführers überzeugend aus, die Beschwerdegegnerin habe nicht davon ausgehen dürfen, der Beschwerdeführer habe auf eine Rechenschaftsablage verzichtet und sich eine solche auch nicht für einen späteren Zeitpunkt vorbehalten.</w:t>
      </w:r>
    </w:p>
    <w:p>
      <w:r>
        <w:t>Entgegen dem angefochtenen Entscheid geht es nicht darum, ob der Beschwerdeführer im damaligen Zeitpunkt hinsichtlich der von der Beschwerdegegnerin ausgeführten Geschäfte und Überweisungen urteilsunfähig gewesen wäre. Entscheidend ist vielmehr die korrekte Einordnung des konkret eingegangenen Auftragsverhältnisses und der damit einhergehenden Sorgfaltspflichten vor dem Hintergrund der damaligen Bedürfnisse des Klägers, wie das Zivilgericht zutreffend erkannt hat. Die Erwägung im angefochtenen Entscheid, die Beeinträchtigungen seiner geistigen Gesundheit, insbesondere die Störung seines Kurzzeitgedächtnisses spreche nicht gegen, sondern für einen Verzicht des Beschwerdeführers auf Rechenschaftsablegung, zumal er in dieser Situation zu einer wirksamen Überprüfung ohnehin nicht in der Lage gewesen wäre, ist nicht nachvollziehbar. Entgegen dem, was die Vorinstanz anzunehmen scheint, hätte der Beschwerdeführer eine entsprechende Überprüfung nicht selbst vornehmen müssen, sondern eine fachkundige Drittperson damit betrauen können.</w:t>
      </w:r>
    </w:p>
    <w:p>
      <w:r>
        <w:t>Daran ändert auch der im angefochtenen Entscheid aufgeführte Hinweis auf die der Beschwerdegegnerin erteilte Vorsorgevollmacht vom 13. Oktober 2014 nichts. Die interne Weisung zur Vorsorgevollmacht sieht in Ziffer 6 f. vielmehr ausdrücklich vor, dass die Beschwerdegegnerin zur jährlichen Rechnungslegung und zur monatlichen Zustellung einer Vergütungsaufstellung verpflichtet sei, worauf die Vorinstanz selber hinweist. Auch die im angefochtenen Entscheid erwähnte spätere Einschränkung der Rechenschaftspflicht gemäss Vorsorgevollmacht auf den Fall konkreter Verdachtsmomente ändert nichts am Grundsatz des Anspruchs des Beschwerdeführers auf Rechenschaft. Entgegen den Erwägungen im angefochtenen Entscheid sprechen die erwähnten Umstände gegen einen Verzicht des Beschwerdeführers auf seinen Rechenschaftsanspruch.</w:t>
      </w:r>
    </w:p>
    <w:p>
      <w:r>
        <w:t>Das Zivilgericht hat unter Würdigung der gesamten Umstände zutreffend erwogen, die Beschwerdegegnerin habe nicht davon ausgehen dürfen, der Beschwerdeführer habe auf die Rechenschaftsablage verzichtet und sich eine solche auch nicht für einen späteren Zeitpunkt vorbehalten. Nach der am 17. Juli 2019 erfolgten Überweisung von EUR 800'000.-- widerrief der Beschwerdeführer die der Beschwerdegegnerin erteilten Vollmachten mit Schreiben vom 29. Juli 2019. Dass bereits vor diesem Zeitpunkt Verdachtsmomente bestanden, die eine Rechenschaftsablage begründet hätten, ist nicht ersichtlich. Mit Schreiben vom 23. Juli 2020 forderte der Beschwerdeführer die Beschwerdegegnerin auf, über Bezüge, Belastungen und Zahlungen im Zeitraum vom 4. Januar 2016 bis 1. August 2019 wie auch die Hintergründe der erfolgten Überweisung über EUR 800'000.-- Auskunft zu erteilen. Ein ungebührlich langes Zuwarten, das die Geltendmachung der entsprechenden Ansprüche durch den Beschwerdeführer als rechtsmissbräuchlich ( Art. 2 Abs. 2 ZGB ) erscheinen liesse, liegt entgegen der Vorinstanz nicht vor.</w:t>
      </w:r>
    </w:p>
    <w:p>
      <w:r>
        <w:t>Dies gilt unabhängig davon, ob möglicherweise weitere neue Tatsachen vorlagen, die Erklärungen betreffend die bisherige Ausführung des Auftrags gerechtfertigt hätten. Die Ausführungen im angefochtenen Entscheid zur Frage der Beweislast für eine solche Tatsache sind nicht entscheiderheblich. Damit erübrigt sich auch die im angefochtenen Entscheid für den Fall einer Beweislast zulasten der Beschwerdegegnerin vorbehaltene Parteibefragung, die von dieser im Berufungsverfahren beantragt worden war. Ob zudem die Überweisung vom 17. Juli 2019 über EUR 800'000.-- zu Recht oder zu Unrecht erfolgte, ist nicht in dieser Phase der Stufenklage zu prüfen. Entsprechendes gilt für die Frage, ob bestimmte von der Beschwerdegegnerin gestützt auf die ihr eingeräumte Bankvollmacht veranlasste Zahlungen zu ihren eigenen Gunsten infolge Selbstkontrahierens unzulässig waren. Ob mit den Banküberweisungen "unbestrittene fällige Forderungen der Beklagten oder ihrer GmbH, insbesondere solche als Beauftragte auf Vergütung und Auslagenersatz, erfüllt wurden", wie die Vorinstanz festhält, ist nach einer Rechenschaftsablage zu beurteilen.</w:t>
      </w:r>
    </w:p>
    <w:p>
      <w:r>
        <w:rPr>
          <w:b/>
        </w:rPr>
        <w:t>E. 4</w:t>
      </w:r>
    </w:p>
    <w:p>
      <w:r>
        <w:t>Der Beschwerdeführer rügt, die Vorinstanz sei hinsichtlich der von der Beschwerdegegnerin erbrachten Dienstleistungen zu Unrecht von einer Gefälligkeit anstatt von einem Auftragsverhältnis ausgegangen.</w:t>
      </w:r>
    </w:p>
    <w:p>
      <w:r>
        <w:rPr>
          <w:b/>
        </w:rPr>
        <w:t>E. 4.1</w:t>
      </w:r>
    </w:p>
    <w:p>
      <w:r>
        <w:t>Die Vorinstanz stellte in tatsächlicher Hinsicht fest, von Ende 2010 bis 2019 habe "faktisch" die Beschwerdegegnerin persönlich dem Beschwerdeführer Organisationsleistungen in Form von Umzügen, Einrichtung und Auflösung von Wohnungen, Anlässen, Festen, Konferenzen, Aufenthalten in X.________ und Y.________ sowie Reisen erbracht und Einsätze als "Personal Assistant" des Beschwerdeführers geleistet. Diese Leistungen seien gemäss übereinstimmender Darstellung der Parteien im Rahmen eines entgeltlichen Auftragsverhältnisses erbracht worden. Ob die Beschwerdegegnerin persönlich oder ihre GmbH Beauftragte des Beschwerdeführers gewesen sei, liess die Vorinstanz - wie sich erwiesen hat, zu Unrecht - infolge Verwirkung des Anspruchs auf Rechenschaftsablegung offen.</w:t>
      </w:r>
    </w:p>
    <w:p>
      <w:r>
        <w:t>Betreffend die Erledigung des Zahlungsverkehrs sowie der Verwendung einer Debit- und einer Kreditkarte durch die Beschwerdegegnerin ab dem 24. Juli 2015 erwog die Vorinstanz, diese sei nicht im Rahmen eines Schuld-, sondern im Rahmen eines Gefälligkeitsverhältnisses erfolgt.</w:t>
      </w:r>
    </w:p>
    <w:p>
      <w:r>
        <w:rPr>
          <w:b/>
        </w:rPr>
        <w:t>E. 4.2</w:t>
      </w:r>
    </w:p>
    <w:p>
      <w:r>
        <w:t>Der Beschwerdeführer bringt zu Recht vor, dass die von der Vorinstanz getroffene Unterscheidung zwischen auftragsrechtlichen Organisationsleistungen einerseits und nicht vertraglichen Gefälligkeiten bei der Abwicklung des Zahlungsverkehrs andererseits angesichts der konkreten Umstände unhaltbar ist und in den Sachverhaltsfeststellungen im angefochtenen Entscheid keine Stütze findet. Wie das Zivilgericht überzeugend erwog, bestand ein enger Zusammenhang zwischen der Verwaltung und Besorgung der persönlichen Angelegenheiten des Beschwerdeführers und der Abwicklung des Zahlungsverkehrs im Rahmen dieser Angelegenheiten. Die Vorinstanz stellte selber fest, dass die Beschwerdegegnerin unter anderem Überweisungen vom Zahlungskonto des Beschwerdeführers zu ihren eigenen Gunsten sowie ihrer GmbH ausführte. Ob für die Erledigung des Zahlungsverkehrs sowie die Verwendung der Debit- und der Kreditkarte ein separates Honorar entrichtet wurde, ist entgegen dem, was die Vorinstanz anzunehmen scheint, für die Qualifikation als Auftragsverhältnis ebenso unerheblich (vgl. Art. 394 Abs. 3 OR ) wie der Umstand, dass es dem Beschwerdeführer auch möglich gewesen wäre, eine Drittperson mit der Erledigung des Zahlungsverkehrs zu beauftragen.</w:t>
      </w:r>
    </w:p>
    <w:p>
      <w:r>
        <w:t>Entgegen dem angefochtenen Entscheid hat das Zivilgericht überzeugend dargelegt, dass die Erledigung des Zahlungsverkehrs nicht bloss eine Gefälligkeit der Beschwerdegegnerin darstellte, sondern die Parteien vielmehr ein rechtlich bindendes Vertragsverhältnis eingegangen sind, das auch den Zahlungsverkehr und die Verwendung einer Debit- und einer Kreditkarte einschloss, und als Auftrag im Sinne von Art. 394 ff. OR zu qualifizieren ist. Daraus ergibt sich ein Anspruch des Beschwerdeführers auf Rechenschaftsablegung nach Art. 400 Abs. 1 OR gegenüber der Beschwerdegegnerin, zumal diese Leistung unbestrittenermassen von ihr selbst besorgt wurde und die entsprechenden Zahlungs- bzw. Bankvollmachten auf sie persönlich ausgestellt waren. Ob darüber hinaus ein Auftragsverhältnis des Beschwerdeführers mit der GmbH der Beschwerdegegnerin bestand, ist für den Rechenschaftsanspruch - zumindest im Umfang, wie er von der Erstinstanz zugesprochen wurde - nicht entscheidend.</w:t>
      </w:r>
    </w:p>
    <w:p>
      <w:r>
        <w:rPr>
          <w:b/>
        </w:rPr>
        <w:t>E. 5</w:t>
      </w:r>
    </w:p>
    <w:p>
      <w:r>
        <w:t>Der Beschwerdeführer beanstandet den Umfang der von der Vorinstanz bejahten Rechenschaftspflicht der Beschwerdegegnerin im Zusammenhang mit dem entgeltlichen Auftragsverhältnis betreffend die Grundstücke in V.________.</w:t>
      </w:r>
    </w:p>
    <w:p>
      <w:r>
        <w:rPr>
          <w:b/>
        </w:rPr>
        <w:t>E. 5.1</w:t>
      </w:r>
    </w:p>
    <w:p>
      <w:r>
        <w:t>Die Vorinstanz hiess das Rechtsbegehren 1 des Beschwerdeführers betreffend Spiegelstrich 5 von Absatz 2 ausser bezüglich der Information über den datierten Zeitaufwand und beschränkt auf die Zeit ab dem 6. Dezember 2018 gut. Sie erwog, der Beschwerdeführer habe unabhängig von der Qualifikation des Auftragsverhältnisses als Auftrag oder Mäklervertrag gemäss Art. 400 Abs. 1 bzw. in Verbindung mit Art. 412 Abs. 2 OR grundsätzlich Anspruch auf Rechenschaftsablegung betreffend die in Rechtsbegehren 1 erwähnte Tätigkeit im Zusammenhang mit dem Verkauf des fraglichen Grundstücks. Der Anspruch des Beschwerdeführers stütze sich auf die Vereinbarung vom 6. Dezember 2018. Gemäss dieser Vereinbarung entspreche das Honorar der Beschwerdegegnerin einem Prozentsatz des Kaufpreises. Für die Frage der Entschädigung der Dienstleistung der Beschwerdegegnerin sei es daher irrelevant, wann und wie lange sie in Ausführung ihres Auftrags tätig gewesen sei. Irgendein anderer Grund, weshalb diesbezügliche Informationen für den Beschwerdeführer von Bedeutung sein könnten, sei nicht genannt worden und nicht ersichtlich.</w:t>
      </w:r>
    </w:p>
    <w:p>
      <w:r>
        <w:t>Die Vorinstanz erwog ausserdem, der eingeklagte Anspruch auf Rechenschaftsablegung über ihre Tätigkeit im Zusammenhang mit dem Verkauf des Grundbesitzes des Beschwerdeführers in V.________ sei erst mit Abschluss der Vereinbarung vom 6. Dezember 2018 entstanden, weshalb sich die verlangte Rechenschaft auf die Zeit nach Vertragsabschluss beschränke.</w:t>
      </w:r>
    </w:p>
    <w:p>
      <w:r>
        <w:rPr>
          <w:b/>
        </w:rPr>
        <w:t>E. 5.2</w:t>
      </w:r>
    </w:p>
    <w:p>
      <w:r>
        <w:t>Der Beschwerdeführer beanstandet die zeitliche Beschränkung seines Anspruchs vor Bundesgericht nicht. Zum Umfang der im angefochtenen Entscheid angeordneten Rechenschaftsablegung bringt er einzig vor, die detaillierte Rechenschaftsablage nach datiertem Zeitaufwand könnte im nachgelagerten Forderungsprozess bei einer allfälligen Reduktion der Provisionsforderung der Beschwerdegegnerin nach richterlichem Ermessen gemäss Art. 417 OR von Bedeutung sein und sei damit relevanter Teil der Rechenschaftspflicht.</w:t>
      </w:r>
    </w:p>
    <w:p>
      <w:r>
        <w:t>Der Beschwerdeführer verkennt mit seinem Vorbringen, dass gemäss Art. 417 OR der tatsächliche Aufwand des Mäklers für die Beurteilung der Frage, ob der Mäklerlohn unverhältnismässig hoch ist, nach bundesgerichtlicher Rechtsprechung nicht entscheidend ist ( BGE 138 III 669 E. 3.1). Damit bleibt es bezüglich des im angefochtenen Entscheid teilweise gutgeheissenen Begehrens betreffend den Verkauf des Grundstücks des Beschwerdeführers in V.________ (Rechtsbegehren 1, Absatz 2 Spiegelstrich 5) bei der im Vergleich zum erstinstanzlichen Entscheid engeren Fassung des Anspruchs auf Rechenschaftsablage im angefochtenen Entscheid. Der Beschwerdeführer erhebt im Übrigen auch keine hinreichende Rüge zur von der Vorinstanz angepassten Strafandrohung.</w:t>
      </w:r>
    </w:p>
    <w:p>
      <w:r>
        <w:rPr>
          <w:b/>
        </w:rPr>
        <w:t>E. 6</w:t>
      </w:r>
    </w:p>
    <w:p>
      <w:r>
        <w:t>Die Beschwerde ist teilweise gutzuheissen, soweit darauf einzutreten ist, der angefochtene Entscheid ist aufzuheben und entsprechend dem erstinstanzlichen Teilurteil - mit Ausnahme der Rechenschaftsablage betreffend den Verkauf des Grundstücks des Beschwerdeführers in V.________ sowie der Strafandrohung - neu zu fassen.</w:t>
      </w:r>
    </w:p>
    <w:p>
      <w:r>
        <w:t>Dem Ausgang des Verfahrens entsprechend werden die Gerichtskosten von Fr. 8'000.-- der Beschwerdegegnerin im Umfang von Fr. 7'200.-- und dem Beschwerdeführer im Umfang von Fr. 800.-- auferlegt ( Art. 66 Abs. 1 BGG ). Im Umfang der vom Beschwerdeführer geschuldeten Parteientschädigung von Fr. 900.-- heben sich die geschuldeten Entschädigungen gegenseitig auf, womit sich die von der Beschwerdegegnerin noch zu entrichtende Entschädigung auf Fr. 8'100.-- beläuft (Fr. 9'000.-- minus Fr. 900.--;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