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159/2017 vom 28. August 2017</w:t>
      </w:r>
    </w:p>
    <w:p>
      <w:r>
        <w:t>Bundesgericht, 2017-08-28, DE</w:t>
      </w:r>
    </w:p>
    <w:p>
      <w:r>
        <w:rPr>
          <w:b/>
        </w:rPr>
        <w:t xml:space="preserve">Quelle: </w:t>
      </w:r>
      <w:r>
        <w:t>https://mcp.opencaselaw.ch/entscheid/bger_4A_159_2017</w:t>
      </w:r>
    </w:p>
    <w:p>
      <w:r>
        <w:t>FR: TF 4A 159/2017 du 28 août 2017</w:t>
      </w:r>
    </w:p>
    <w:p>
      <w:r>
        <w:t>IT: TF 4A 159/2017 del 28 agosto 2017</w:t>
      </w:r>
    </w:p>
    <w:p>
      <w:pPr>
        <w:pStyle w:val="Heading2"/>
      </w:pPr>
      <w:r>
        <w:t>Regeste</w:t>
      </w:r>
    </w:p>
    <w:p>
      <w:r>
        <w:t>Krankentaggeldversicherung | Vertragsrecht</w:t>
      </w:r>
    </w:p>
    <w:p>
      <w:pPr>
        <w:pStyle w:val="Heading2"/>
      </w:pPr>
      <w:r>
        <w:t>Erwägungen</w:t>
      </w:r>
    </w:p>
    <w:p>
      <w:r>
        <w:rPr>
          <w:b/>
        </w:rPr>
        <w:t>E. 1</w:t>
      </w:r>
    </w:p>
    <w:p>
      <w:r>
        <w:t>Zu beurteilen ist die Leistungspflicht der Beschwerdegegnerin aus der Einzeltaggeldversicherung "D.________", mithin einer Zusatzversicherung zur sozialen Krankenversicherung (vgl. Urteil 4A_47/2012 vom 12. März 2012 E. 2). Nach Art. 2 Abs. 2 des Bundesgesetzes vom 26. September 2014 betreffend die Aufsicht über die soziale Krankenversicherung (Krankenversicherungsaufsichtsgesetz, KVAG; SR 832.12) unterstehen derartige Zusatzversicherungen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Der Beschwerdeführer ist nach dem Gesagten nicht zu hören, wenn er bloss vorbringt, dass er sich weiterhin auf Ziff. 5.3 lit. d AVB berufe, ohne dabei eine hinreichende Rüge nach den oben genannten Grundsätzen zu erheben.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beanstandet die vorinstanzliche Auslegung der Ziff. 9.4 der allgemeinen Versicherungsbedingungen, "Gemeinsame Bestimmungen", in Kraft seit 1. Januar 2010 (AVB), bezüglich der Berechnung der Überentschädigungsgrenze für den Zeitraum von Mai bis November 2013. Für die Koordination zwischen der IV-Rente und den Taggeldleistungen sei vom versicherten Verdienst der Kollektivversicherung der ehemaligen Arbeitgeberin in der Höhe von Fr. 119.05 auszugehen, anstatt von dem in der Einzelversicherung versicherten Taggeld von Fr. 95.--. Dies weil "die versicherten Leistungen in der Einzelversicherung gleich hoch sein sollen wie vorher in der Kollektivversicherung". Die AVB würden sodann keine technischen Begriffe wie "versicherter Verdienst" verwenden. Ziff. 9.4 AVB wolle schlicht ausschliessen, dass dem Versicherten ein Gewinn erwachse. Da ausgeschlossen sei, dass der versicherte Verdienst in der Kollektivversicherung bereits einen Gewinn enthalte, könne bis zu diesem Betrag auch in der Einzelversicherung, welche die technischen Werte zwar anders definiere, aber das Gleiche versichern wolle, kein Gewinn im Sinne von Ziff. 9.4 AVB entstehen.</w:t>
      </w:r>
    </w:p>
    <w:p>
      <w:r>
        <w:rPr>
          <w:b/>
        </w:rPr>
        <w:t>E. 3.2</w:t>
      </w:r>
    </w:p>
    <w:p>
      <w:r>
        <w:t>AGB-Klauseln sind, wenn sie in Verträge übernommen werden, grundsätzlich nach denselben Prinzipien auszulegen wie andere vertragliche Bestimmungen ( BGE 142 III 671 E. 3.3; 135 III 1 E. 2 S. 6; je mit Verweisen).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S. 398;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w:t>
      </w:r>
    </w:p>
    <w:p>
      <w:r>
        <w:rPr>
          <w:b/>
        </w:rPr>
        <w:t>E. 3.3</w:t>
      </w:r>
    </w:p>
    <w:p>
      <w:r>
        <w:t>Die Vorinstanz erwog, die Parteien stimmten darin überein, dass die vom Beschwerdeführer bezogenen Leistungen der Invalidenversicherung auf das Taggeld anzurechnen seien. Umstritten sei, von welchem Wert die IV-Rente abzuziehen sei. Der Beschwerdeführer gehe von dem in der Kollektivversicherung versicherten Verdienst von Fr. 119.05 aus, ziehe davon die von der Beschwerdegegnerin berechneten Fr. 27.65 IV-Leistungen ab und gelange so zu einem Taggeldanspruch von Fr. 91.40. Die Beschwerdegegnerin subtrahiere demgegenüber die Fr. 27.65 vom in der Einzelversicherung versicherten Taggeld von Fr. 95.--, was einen Betrag von Fr. 67.35 ergebe. Ziff. 9.4 AVB lege, so die Vorinstanz weiter, unter dem Titel "Überversicherung" fest, dem Versicherten dürfe aus den Leistungen nach diesen AVB unter Berücksichtigung der Leistung von Dritten kein Gewinn erwachsen. Der Begriff "Gewinn" werde indessen nicht definiert und sein Inhalt sei deshalb durch Auslegung zu bestimmen. Ein übereinstimmender wirklicher Wille sei von keiner Partei behauptet oder nachgewiesen worden. Mithin sei nach dem mutmasslichen Parteiwillen zu fragen. Bei einem in der Höhe fix vereinbarten Taggeld könne der effektive Erwerbsausfall keine Rolle spielen. Damit könne als Gewinn nur jene Leistungen verstanden werden, welche die Deckung des versicherten Verdienstes oder aber des versicherten Taggeldes übersteigen würden. Im vorliegenden Fall seien der versicherte Verdienst und das versicherte Taggeld identisch. Es müsse deshalb nicht geklärt werden, welche Variante der Gewinnberechnung zugrunde zu legen sei. Daraus folge, dass Ziffer 9.4 AVB im vorliegenden Fall in dem Sinne habe verstanden werden dürfen, dass die Überentschädigungsgrenze auf Fr. 95.-- festgelegt werde. Der Vollständigkeitshalber sei anzufügen, dass die Ziffern 9.1.1 und 9.2 AVB die Koordination mit Leistungen Dritter sowie der Sozialversicherungen lediglich dem Grundsatz nach vorsehen würden, ohne sich zur Grenze der Überentschädigung zu äussern. Aus diesen beiden Ziffern könne für die hier zu beantwortende Frage deshalb nichts abgeleitet werden. Hinsichtlich des Zeitraums Mai bis November 2013 sei somit dem Standpunkt der Beschwerdegegnerin zu folgen und der Tagessatz bei Fr. 67.35 zu belassen.</w:t>
      </w:r>
    </w:p>
    <w:p>
      <w:r>
        <w:rPr>
          <w:b/>
        </w:rPr>
        <w:t>E. 3.4</w:t>
      </w:r>
    </w:p>
    <w:p>
      <w:r>
        <w:t>Dagegen bringt der Beschwerdeführer vor, dass ein wirklicher Wille der Parteien in den Prozess eingebracht worden sei und von der Vorinstanz hätte berücksichtigt werden müssen. Er beruft sich diesbezüglich aber bloss auf Aussagen in den vorinstanzlichen Rechtsschriften und bringt pauschal und ohne weitere Begründung vor, dass deren Nichtberücksichtigung vom Bundesgericht korrigiert werden könne. Damit zeigt er nicht auf, dass die Feststellung der Vorinstanz, ein übereinstimmender wirklicher Wille sei weder behauptet noch bewiesen worden, unhaltbar sei. Vor allem der fehlende Beweis lässt sich mit dem blossen Hinweis auf angebliche Aussagen in den Rechtsschriften nicht umstossen. Im Weiteren wiederholt der Beschwerdeführer gegen die vorinstanzliche Auslegung der Versicherungsbedingungen nach dem Vertrauensprinzip seine Behauptung, dass für die Berechnung der Überentschädigungsgrenze nach Ziff. 9.4 AVB nicht auf das versicherte Taggeld von Fr. 95.-- der Einzelversicherung abgestellt werden soll, sondern auf den (höheren) versicherten Verdienst von Fr. 119.05 aus der Kollektivversicherung mit seiner ehemaligen Arbeitgeberin. Er begründet diese Auslegung von Ziff. 9.4 AVB einzig mit dem von ihm vertretenen Postulat, dass die versicherten Leistungen in der Einzelversicherung "gleich hoch sein sollen wie vorher in der Kollektivversicherung", ohne aber aufzuzeigen, inwiefern die Vorinstanz Bundesrecht verletzt hätte, indem sie dieses Postulat nicht aufnahm. Weitere Umstände, gestützt auf die geschlossen werden könnte, dass der Beschwerdeführer die AVB-Bestimmung nach Treu und Glauben in dem von ihm behaupteten Sinne verstehen durfte und musste, werden vom Beschwerdeführer nicht vorgebracht und sind im vorinstanzlich festgestellten Sachverhalt auch nicht erkennbar. Damit vermag der Beschwerdeführer die vorinstanzliche Auslegung der Ziff. 9.4 AVB nicht als bundesrechtswidrig auszuweisen.</w:t>
      </w:r>
    </w:p>
    <w:p>
      <w:r>
        <w:rPr>
          <w:b/>
        </w:rPr>
        <w:t>E. 4</w:t>
      </w:r>
    </w:p>
    <w:p>
      <w:r>
        <w:t>Der Beschwerdeführer wendet sich sodann gegen die von der Vorinstanz vorgenommene Verrechnung seines Taggeldanspruchs mit den ausstehenden Prämienansprüchen der Beschwerdegegnerin. Er macht einzig geltend, dass der Versicherungsvertrag durch Austausch übereinstimmender Willensäusserungen im Sinne von Art. 115 OR aufgehoben worden sei und der Beschwerdegegnerin entsprechend keine Prämienforderungen zustehen würden. Er stützt sich dabei einzig auf tatsächliche Elemente, die im vorinstanzlichen Sachverhalt nicht festgestellt wurden, nämlich auf seinen angeblichen Antrag zur Vertragsaufhebung, auf das allfällige Motiv der Beschwerdegegnerin und das angebliche konkludente Verhalten der Parteien in der Zeit vom 24. Januar 2014 bis zum 15. Dezember 2016, ohne dabei rechtsgenügliche Sachverhaltsrügen nach den oben erwähnten Grundsätzen zu erheben (vgl. Erwägung 2.2). Damit ist er nicht zu hören. Dass gestützt auf den vorinstanzlich festgestellten Sachverhalt geschlossen werden müsste, dass zwischen dem Beschwerdeführer und der Beschwerdegegnerin der Versicherungsvertrag durch Austausch übereinstimmender Willensäusserungen im Sinne von Art. 115 OR aufgehoben worden wäre (vgl. dazu: Urteil 4A_437/2007 vom 5. Februar 2008 E. 2.4.2), macht der Beschwerdeführer nicht geltend, zumindest nicht hinreichend. Es hat damit sein Bewenden.</w:t>
      </w:r>
    </w:p>
    <w:p>
      <w:r>
        <w:rPr>
          <w:b/>
        </w:rPr>
        <w:t>E. 5</w:t>
      </w:r>
    </w:p>
    <w:p>
      <w:r>
        <w:t>Nach dem Gesagten ist die Beschwerde abzuweisen, soweit auf sie eingetreten werden kann. Die Gerichtskosten sind entsprechend dem Ausgang des Verfahrens dem Beschwerdeführer aufzuerlegen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