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4A_159/2010 vom 31. Mai 2010</w:t>
      </w:r>
    </w:p>
    <w:p>
      <w:r>
        <w:t>Bundesgericht, 2010-05-31, FR</w:t>
      </w:r>
    </w:p>
    <w:p>
      <w:r>
        <w:rPr>
          <w:b/>
        </w:rPr>
        <w:t xml:space="preserve">Quelle: </w:t>
      </w:r>
      <w:r>
        <w:t>https://mcp.opencaselaw.ch/entscheid/bger_4A_159_2010</w:t>
      </w:r>
    </w:p>
    <w:p>
      <w:r>
        <w:t>FR: TF 4A_159/2010 du 31 mai 2010</w:t>
      </w:r>
    </w:p>
    <w:p>
      <w:r>
        <w:t>IT: TF 4A_159/2010 del 31 maggio 2010</w:t>
      </w:r>
    </w:p>
    <w:p>
      <w:pPr>
        <w:pStyle w:val="Heading2"/>
      </w:pPr>
      <w:r>
        <w:t>Erwägungen</w:t>
      </w:r>
    </w:p>
    <w:p>
      <w:r>
        <w:rPr>
          <w:b/>
        </w:rPr>
        <w:t>E. 1.1</w:t>
      </w:r>
    </w:p>
    <w:p>
      <w:r>
        <w:t>Un litige entre un employeur et un travailleur au sujet de prétentions découlant d'une convention collective relève du droit privé ( ATF 118 II 528 consid. 2a p. 531; arrêt 4A_300/2007 du 6 mai 2008 consid. 1, non publié in ATF 134 III 399 ), de sorte que le recours en matière civile est ouvert ( art. 72 al. 1 LTF ).</w:t>
      </w:r>
    </w:p>
    <w:p>
      <w:r>
        <w:t>En cas de recours contre une décision finale ( art. 90 LTF ), la valeur litigieuse doit être déterminée sur la base des conclusions restées litigieuses devant l'autorité précédente ( art. 51 al. 1 let. a LTF ). En l'espèce, il ressort des constatations cantonales que le travailleur réclamait en appel 21'618 fr.60 en capital (cf. art. 51 al. 3 LTF ), tandis que l'employeur ne reconnaissait devoir sur cette prétention que 400 fr.05. Il faut donc en déduire - contrairement à ce qui figure dans l'arrêt cantonal - que la valeur litigieuse atteint bien le seuil de 15'000 fr. exigé en matière de droit du travail par l' art. 74 al. 1 let. a LTF .</w:t>
      </w:r>
    </w:p>
    <w:p>
      <w:r>
        <w:t>Interjeté pour le reste par la partie qui a succombé dans ses conclusions libératoires ( art. 76 al. 1 LTF ) et dirigé contre un arrêt rendu par une autorité cantonale de dernière instance ( art. 75 LTF ), le recours est en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invoque tout d'abord une violation de son droit d'être entendue, garanti par l' art. 29 al. 2 Cst. , sous la forme du droit à une décision motivée.</w:t>
      </w:r>
    </w:p>
    <w:p>
      <w:r>
        <w:t>La jurisprudence a notamment déduit du droit d'être entendu l'obligation pour l'autorité de motiver sa décision, afin que l'administré puisse la comprendre et l'attaquer utilement s'il y a lieu ( ATF 129 I 232 consid. 3.2 p. 236 et les arrêts cités). Il suffit cependant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sans arbitraire, apparaissent pertinents ( ATF 134 I 83 consid. 4.1 p. 88; 133 III 439 consid. 3.3 p. 445; 130 II 530 consid. 4.3 p. 540).</w:t>
      </w:r>
    </w:p>
    <w:p>
      <w:r>
        <w:t>En l'espèce, l'arrêt cantonal, en se référant à la convention collective et à l'une de ses annexes, explique clairement pourquoi les juges sont parvenus à la conclusion que le nombre d'heures effectivement travaillées devait être majoré pour tenir compte du travail de nuit et des vacances. Il n'y a donc aucune trace d'une violation du droit à une décision motivée. Savoir si la motivation présentée est convaincante ou au contraire erronée n'est pas une question qui relève du droit d'être entendu (cf. arrêt 4A_25/2007 du 25 mai 2007, consid. 3.3).</w:t>
      </w:r>
    </w:p>
    <w:p>
      <w:r>
        <w:rPr>
          <w:b/>
        </w:rPr>
        <w:t>E. 2.2</w:t>
      </w:r>
    </w:p>
    <w:p>
      <w:r>
        <w:t>La recourante se prévaut également du droit à ne pas être traitée arbitrairement par les organes de l'Etat, ancré à l' art. 9 Cst.</w:t>
      </w:r>
    </w:p>
    <w:p>
      <w:r>
        <w:t>Selon la jurisprudence, une décision est arbitraire si elle est manifestement insoutenable, si elle se trouve en contradiction claire avec la situation de fait, si elle viole gravement une norme ou un principe juridique indiscuté, ou encore si elle heurte de manière choquante le sentiment de la justice et de l'équité. Il ne suffit pas qu'une autre solu-tion puisse entrer en considération ou même qu'elle soit préférable; pour qu'une décision soit annulée pour cause d'arbitraire, il faut qu'elle soit insoutenable non seulement dans sa motivation, mais encore dans son résultat ( ATF 135 V 2 consid. 1.3 p. 4; 134 I 263 consid. 3.1 p. 265 s.).</w:t>
      </w:r>
    </w:p>
    <w:p>
      <w:r>
        <w:t>La recourante s'en prend à un passage de l'arrêt cantonal où il est dit qu'elle aurait dû convertir spontanément le contrat de l'intimé en un contrat rémunéré au mois et qu'il se justifie, puisqu'elle ne l'a pas fait, d'interpréter en sa défaveur une éventuelle obscurité des dispositions applicables. Comme l'admet l'intimé, cette règle d'interprétation ne trouve aucun point d'appui dans la jurisprudence et on peut effective-ment considérer que ce genre de déduction est insoutenable. Mais si l'on examine l'arrêt dans son ensemble, il apparaît que la cour canto-nale a procédé à une interprétation libre des dispositions applicables et qu'elle n'a éprouvé aucun doute à l'issue de ce processus; autrement dit, elle n'a pas fait état d'obscurité qui l'aurait amenée à appliquer la règle d'interprétation qu'elle avait posée. Ainsi, le passage critiqué ne joue aucun rôle dans la prise de décision. Le grief soulevé est donc impropre à démontrer que la décision attaquée est arbitraire dans son résultat.</w:t>
      </w:r>
    </w:p>
    <w:p>
      <w:r>
        <w:t>Invoquant toujours l'arbitraire, la recourante s'en prend également à la manière dont la convention collective a été comprise. Interpréter des clauses contractuelles ou des dispositions d'une convention collective de travail relève du droit fédéral, dont le respect peut être examiné librement dans un recours en matière civile ( art. 95 let. a LTF ). La recourante ayant expressément soulevé un tel grief, qui sera examiné ci-dessous, il n'y a nul besoin de s'en saisir sous l'angle de l'arbitraire.</w:t>
      </w:r>
    </w:p>
    <w:p>
      <w:r>
        <w:rPr>
          <w:b/>
        </w:rPr>
        <w:t>E. 2.3</w:t>
      </w:r>
    </w:p>
    <w:p>
      <w:r>
        <w:t>A titre principal, la recourante se plaint de la manière dont la convention collective a été interprétée. Elle soutient que les heures de travail effectives ne doivent pas être majorées pour tenir compte du travail de nuit et des vacances.</w:t>
      </w:r>
    </w:p>
    <w:p>
      <w:r>
        <w:rPr>
          <w:b/>
        </w:rPr>
        <w:t>E. 2.3.1</w:t>
      </w:r>
    </w:p>
    <w:p>
      <w:r>
        <w:t>Le litige porte sur l'interprétation d'une convention collective au sens de l' art. 356 CO , dont le champ d'application a été étendu par le Conseil fédéral en vertu de la loi fédérale du 28 septembre 1956 permettant d'étendre le champ d'application de la convention collective de travail (RS 221.215.311).</w:t>
      </w:r>
    </w:p>
    <w:p>
      <w:r>
        <w:t>Sauf disposition contraire de la convention, les clauses relatives à la conclusion, au contenu et à l'extinction des contrats individuels de travail ont, pour la durée de la convention, un effet direct et impératif envers les employeurs et travailleurs qu'elles lient ( art. 357 al. 1 CO ).</w:t>
      </w:r>
    </w:p>
    <w:p>
      <w:r>
        <w:t>Les clauses qui ont un effet direct et impératif sur les contrats individuels entre les employeurs et employés qu'elles lient sont appelées des clauses normatives (cf. ATF 115 II 251 consid. 4a p. 253; parmi d'autres: Rémy Wyler, Droit du travail, 2e éd. 2008, p. 675). Les dispositions normatives d'une convention collective de travail doivent être interprétées de la même manière qu'une loi ( ATF 127 III 318 consid. 2a p. 322).</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135 I 198 consid. 2.1 p. 201; 135 II 78 consid. 2.2. p. 81, 243 consid. 4.1 p. 251, 416 consid. 2.2 p. 418; 135 III 20 consid. 4.4 p. 23, 112 consid. 3.3.2 p. 116, 483 consid. 5.1 p. 486; 135 V 153 consid. 4.1 p. 157 s., 249 consid. 4.1 p. 252).</w:t>
      </w:r>
    </w:p>
    <w:p>
      <w:r>
        <w:t>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 ATF 133 III 213 consid. 5.2 p. 218).</w:t>
      </w:r>
    </w:p>
    <w:p>
      <w:r>
        <w:rPr>
          <w:b/>
        </w:rPr>
        <w:t>E. 2.3.2</w:t>
      </w:r>
    </w:p>
    <w:p>
      <w:r>
        <w:t>En l'espèce, les parties sont en litige sur le contenu de la convention collective. Selon la recourante, l'arrêté du Conseil fédéral du 30 août 2007 avec entrée en vigueur le 1er octobre 2007 a modifié l'art. 2 al. 4 let. b de la convention en ce sens que le collaborateur doit être "transféré à une rétribution au mois équivalant au moins au taux d'occupation exercé jusque-là". L'intimé soutient que ce membre de phrase est apparu pour la première fois dans l'arrêté d'extension du Conseil fédéral du 30 juin 2008, soit postérieurement à la période déterminante.</w:t>
      </w:r>
    </w:p>
    <w:p>
      <w:r>
        <w:t>Lorsque les dispositions d'une convention collective de travail ont un effet direct sur les relations individuelles, il est important qu'elles puissent être connues de tous avec certitude. On sait que ces dispositions, en fonction des négociations entre les partenaires sociaux, sont fréquemment modifiées, ce qui pose déjà des problèmes de droit transitoire. La difficulté est encore plus grande s'il devient difficile de déterminer le texte en vigueur à chaque période. En l'espèce, les parties divergent sur le contenu de la convention collective dont le champ d'application a été étendu, par arrêté du Conseil fédéral du 30 août 2007, avec effet dès le 1er octobre 2007. Il est regrettable que la publication à la Feuille fédérale (FF 2007 p. 6093) soit à ce point laconique que l'on ne puisse pas saisir d'emblée quel est le contenu de la modification au point que les avocats des parties divergent sur le contenu de celle-ci.</w:t>
      </w:r>
    </w:p>
    <w:p>
      <w:r>
        <w:t>La version complète de l'arrêté du Conseil fédéral, que l'on trouve en partant du site www.seco.admin.ch, montre, que dès le 1er octobre 2007, l'art. 2 al. 4 let. b de la convention collective contenait effectivement la phrase: "il est transféré à une rétribution au mois équivalant au moins au taux d'occupation exercé jusque-là". C'est donc la recourante qui a raison sur ce point.</w:t>
      </w:r>
    </w:p>
    <w:p>
      <w:r>
        <w:t>La phrase litigieuse ne modifie cependant rien à la question posée. L'art. 2 al. 4 let. b de la convention collective prévoit que lorsqu'un collaborateur a travaillé plus de 150 heures par mois en moyenne au cours des six derniers mois dans les secteurs qui sont précisés, il est transféré à une rétribution au mois équivalant au moins au taux d'occupation exercé jusque-là. Il n'est cependant pas précisé ce qu'il faut entendre par "taux d'occupation exercé jusque-là". La phrase invoquée laisse entièrement ouverte la question de la détermination du taux d'occupation.</w:t>
      </w:r>
    </w:p>
    <w:p>
      <w:r>
        <w:rPr>
          <w:b/>
        </w:rPr>
        <w:t>E. 2.3.3</w:t>
      </w:r>
    </w:p>
    <w:p>
      <w:r>
        <w:t>La cour cantonale a estimé qu'il fallait augmenter le nombre des heures de travail effectif pour tenir compte du travail de nuit. Elle s'est référée à l'art. 9 ch. 3 de la convention collective ainsi qu'à son annexe 2, documents qui tous deux prévoient qu'en compensation du travail de nuit, du travail du dimanche et des jours fériés officiels, une majoration de temps de 6 minutes par heure (soit 10%) est accordée. Dans les deux cas il est ajouté que "cette majoration de temps est prise en compte dans le calcul de la durée du travail".</w:t>
      </w:r>
    </w:p>
    <w:p>
      <w:r>
        <w:t>Selon le sens usuel des mots, ces textes sont clairs. Il n'est pas question d'une majoration de salaire, mais bien d'une augmentation de la durée de travail déterminante, pour compenser le fait que le travail est effectué de nuit, un dimanche ou un jour férié officiel.</w:t>
      </w:r>
    </w:p>
    <w:p>
      <w:r>
        <w:t>L'interprétation de la cour cantonale est conforme au contexte général de la convention collective et la recourante ne peut citer aucune disposition qui irait en sens inverse.</w:t>
      </w:r>
    </w:p>
    <w:p>
      <w:r>
        <w:t>D'un point de vue téléologique, il est clair que le travail de nuit (ou un dimanche ou jour férié) est plus pénible, parce qu'il suppose une adaptation du mode de vie et une renonciation à passer son temps libre en même temps que les autres; que cela soit compensé en considérant que 60 minutes de travail effectif valent 66 minutes est parfaitement compréhensible. L'argumentation un peu prolixe de la recourante n'y change rien.</w:t>
      </w:r>
    </w:p>
    <w:p>
      <w:r>
        <w:t>On ne voit donc pas que la cour cantonale ait violé, sur ce point, les règles sur l'interprétation des conventions collectives.</w:t>
      </w:r>
    </w:p>
    <w:p>
      <w:r>
        <w:rPr>
          <w:b/>
        </w:rPr>
        <w:t>E. 2.3.4</w:t>
      </w:r>
    </w:p>
    <w:p>
      <w:r>
        <w:t>La recourante soutient que le chiffre de 163,21 heures par mois contenait déjà cette majoration.</w:t>
      </w:r>
    </w:p>
    <w:p>
      <w:r>
        <w:t>Il ressort cependant de l'arrêt attaqué que la cour cantonale a admis que le chiffre de 163,21 heures par mois correspondait aux heures effectivement travaillées.</w:t>
      </w:r>
    </w:p>
    <w:p>
      <w:r>
        <w:t>Il s'agit là d'une question de fait, qui lie le Tribunal fédéral ( art. 105 al. 1 LTF ). Or, à moins de résulter de la décision de l'autorité précédente, des faits nouveaux ne peuvent pas être présentés devant le Tribunal fédéral ( art. 99 al. 1 LTF ). Dès lors que la recourante ne tente même pas de démontrer que la constatation cantonale reposerait sur une appréciation arbitraire des preuves (art. 97 al. 1 et 105 al. 2 LTF), il n'y a pas lieu de s'écarter de cette constatation.</w:t>
      </w:r>
    </w:p>
    <w:p>
      <w:r>
        <w:rPr>
          <w:b/>
        </w:rPr>
        <w:t>E. 2.3.5</w:t>
      </w:r>
    </w:p>
    <w:p>
      <w:r>
        <w:t>La recourante conteste également la majoration du temps de travail pour tenir compte des vacances dues.</w:t>
      </w:r>
    </w:p>
    <w:p>
      <w:r>
        <w:t>Pour permettre au travailleur de prendre du repos sans en être dissuadé par la perte de salaire, l' art. 329d al. 1 CO prévoit que le travailleur a droit à son salaire pendant les vacances qui lui sont dues. Il s'agit d'une règle relativement impérative à laquelle il ne peut pas être dérogé au détriment du travailleur, même par une convention collective ( art. 362 al. 1 CO ).</w:t>
      </w:r>
    </w:p>
    <w:p>
      <w:r>
        <w:t>La jurisprudence en a déduit que le travailleur ne doit pas être traité différemment, du point de vue salarial, lorsqu'il est en vacances que s'il travaillait ( ATF 132 III 172 consid. 3.1 p. 174; 129 III 493 consid. 3.1, 664 consid. 7.3). Pour la période de vacances dues, le travailleur doit recevoir autant que ce qu'il aurait obtenu s'il avait travaillé pendant cette période ( ATF 134 III 399 consid. 3.2.4.2 p. 402).</w:t>
      </w:r>
    </w:p>
    <w:p>
      <w:r>
        <w:t>Un travailleur payé à l'heure avec un horaire irrégulier et incertain peut être enclin à ne pas prendre de vacances. Cette situation ne supprime cependant pas son droit à des vacances payées, de sorte qu'une compensation adéquate doit lui être procurée.</w:t>
      </w:r>
    </w:p>
    <w:p>
      <w:r>
        <w:t>Il est vrai que le contrat prévoit - selon les constatations cantonales - une majoration du salaire pour tenir compte des vacances, et non pas une majoration du temps de travail induisant une augmentation du salaire. Cette distinction est toutefois sans importance. Il s'agit en effet de comparer la situation d'un travailleur rémunéré au mois à celle d'un travailleur payé à l'heure. Il est clair qu'un travailleur payé au mois prendrait un temps de vacances qui, du point de vue salarial, serait assimilé à un temps de travail. Pour opérer la comparaison, il est logique d'ajouter au temps de travail effectif de la personne engagée à l'heure le temps de vacances qu'elle aurait pu prendre.</w:t>
      </w:r>
    </w:p>
    <w:p>
      <w:r>
        <w:t>La recourante ne peut citer aucune disposition qui, selon une interprétation littérale ou contextuelle, aboutirait à une solution différente. Elle se réfère abondamment à l'art. 9 ch. 2 de la convention collective, mais cette disposition parle de "la durée annuelle du travail" sans rien préciser quant au contenu de cette notion. En revanche, le texte qui précède immédiatement cette clause, à savoir l'art. 9 ch. 1 de la convention, explique très clairement que "la durée annuelle du travail comprend les heures au cours desquelles un travail est effectivement fourni, de même que les pauses payées et les vacances". Les vacances entrent donc dans la notion de "durée annuelle du travail".</w:t>
      </w:r>
    </w:p>
    <w:p>
      <w:r>
        <w:t>En jouant sur la distinction entre la majoration du salaire et la majoration du temps de travail, la recourante soutient que l'interprétation de la Cour d'appel ne serait pas satisfaisante d'un point de vue téléologique, parce que le travailleur bénéficierait deux fois d'un avantage, à savoir une majoration de salaire, d'une part, et une majoration du temps de travail, d'autre part. Cette manière de présenter la situation est pourtant trompeuse. Lorsqu'il a été payé à l'heure, l'intimé a bénéficié effectivement d'une majoration de salaire pour tenir compte des vacances; dans le calcul de la cour cantonale, l'entier de ce qu'il a reçu de son employeur est imputé sur la somme qu'il peut réclamer, de sorte qu'il ne reçoit pas cette majoration deux fois. Ce n'est que pour calculer le temps de travail équivalent et fixer ainsi le salaire au mois auquel il aurait pu prétendre que la cour cantonale a tenu compte, raisonnablement, du temps de vacances que l'employé aurait pu prendre, de manière à déterminer un temps de travail à l'heure qui corresponde à un temps de travail au mois.</w:t>
      </w:r>
    </w:p>
    <w:p>
      <w:r>
        <w:t>Au vu de ce qui précède, le recours est privé de fondement, d'où son rejet.</w:t>
      </w:r>
    </w:p>
    <w:p>
      <w:r>
        <w:rPr>
          <w:b/>
        </w:rPr>
        <w:t>E. 3</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