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4A_158/2023 vom 3. Mai 2023</w:t>
      </w:r>
    </w:p>
    <w:p>
      <w:r>
        <w:t>Bundesgericht, 2023-05-03, DE</w:t>
      </w:r>
    </w:p>
    <w:p>
      <w:r>
        <w:rPr>
          <w:b/>
        </w:rPr>
        <w:t xml:space="preserve">Quelle: </w:t>
      </w:r>
      <w:r>
        <w:t>https://mcp.opencaselaw.ch/entscheid/bger_4A_158_2023</w:t>
      </w:r>
    </w:p>
    <w:p>
      <w:r>
        <w:t>FR: TF 4A_158/2023 du 3 mai 2023</w:t>
      </w:r>
    </w:p>
    <w:p>
      <w:r>
        <w:t>IT: TF 4A_158/2023 del 3 maggio 2023</w:t>
      </w:r>
    </w:p>
    <w:p>
      <w:pPr>
        <w:pStyle w:val="Heading2"/>
      </w:pPr>
      <w:r>
        <w:t>Erwägungen</w:t>
      </w:r>
    </w:p>
    <w:p>
      <w:r>
        <w:rPr>
          <w:b/>
        </w:rPr>
        <w:t>E. 1.1</w:t>
      </w:r>
    </w:p>
    <w:p>
      <w:r>
        <w:t>Das angefochtene Urteil ist ein Endentscheid ( Art. 90 BGG ) einer Vorinstanz im Sinne von Art. 75 BGG . Der Streitwert erreicht die Grenze von Fr. 15'000.-- für arbeitsrechtliche Fälle nicht (vgl. Art. 74 Abs. 1 lit. a BGG ). Dies anerkennt die Beschwerdeführerin. Sie macht jedoch geltend, es stelle sich eine Rechtsfrage von grundsätzlicher Bedeutung im Sinne von Art. 74 Abs. 2 lit. a BGG .</w:t>
      </w:r>
    </w:p>
    <w:p>
      <w:r>
        <w:rPr>
          <w:b/>
        </w:rPr>
        <w:t>E. 1.2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mit weiteren Hinweisen). Wenn geltend gemacht wird, dass von den unteren Instanzen viele gleichartige Fälle zu beurteilen sein werden, muss die zu beurteilende Streitsache überdies geeignet sein, die Frage auch mit Bezug auf die anderen Fälle zu klären ( BGE 139 II 340 E. 4).</w:t>
      </w:r>
    </w:p>
    <w:p>
      <w:r>
        <w:t>Ist eine Beschwerde nur unter der Voraussetzung zulässig, dass sich eine Rechtsfrage von grundsätzlicher Bedeutung stellt, so ist in der Beschwerde auszuführen, warum diese Voraussetzung erfüllt ist ( Art. 42 Abs. 2 Satz 2 BGG ).</w:t>
      </w:r>
    </w:p>
    <w:p>
      <w:r>
        <w:rPr>
          <w:b/>
        </w:rPr>
        <w:t>E. 1.3</w:t>
      </w:r>
    </w:p>
    <w:p>
      <w:r>
        <w:t>Die Beschwerdeführerin trägt vor, im Rahmen der bundesrätlichen Verordnung über Massnahmen in der besonderen Lage zur Bekämpfung der Covid-19-Epidemie (SR 818.101.26) seien vorübergehend alle Restaurationsbetriebe geschlossen worden. Gegenstand des vorliegenden Rechtsstreits bilde die Frage, ob die damit einhergehende Arbeitsverhinderung in die Risikosphäre der Arbeitgeber gemäss Art. 324 Abs. 1 OR fällt. Diese Frage sei vom Bundesgericht noch nicht beantwortet worden, während im Schrifttum unterschiedliche Meinungen vertreten würden. Die Klärung der Frage habe Einfluss auf eine unbekannte Anzahl hängiger Rechtsverfahren im Zusammenhang mit der Covid-19-Pandemie. Erforderlich sei die Klärung auch im Hinblick auf zukünftige Pandemien, kriegerische Ereignisse oder Energiekrisen. Die Frage nach dem Umfang des Betriebsrisikos gemäss Art. 324 Abs. 1 OR könne sich aufgrund der weltpolitischen Lage jederzeit wieder stellen.</w:t>
      </w:r>
    </w:p>
    <w:p>
      <w:r>
        <w:rPr>
          <w:b/>
        </w:rPr>
        <w:t>E. 1.4</w:t>
      </w:r>
    </w:p>
    <w:p>
      <w:r>
        <w:t>Das Bundesgericht hat die aufgeworfene Rechtsfrage mit öffentlich beratenem Urteil vom 30. August 2023 beantwortet (4A_53/2023).</w:t>
      </w:r>
    </w:p>
    <w:p>
      <w:r>
        <w:t>Die Beschwerde in Zivilsachen ist somit nicht zulässig. Eine Entgegennahme der Beschwerde als subsidiäre Verfassungsbeschwerde ( Art. 113-119 BGG ) scheidet aus, da die Beschwerdeführerin keine Verletzung verfassungsmässiger Rechte ( Art. 116 BGG ) rügt.</w:t>
      </w:r>
    </w:p>
    <w:p>
      <w:r>
        <w:rPr>
          <w:b/>
        </w:rPr>
        <w:t>E. 2</w:t>
      </w:r>
    </w:p>
    <w:p>
      <w:r>
        <w:t>Nach dem Gesagten ist auf die Beschwerde nicht einzutreten. Ausgangsgemäss wird die Beschwerdeführerin kostenpflichtig ( Art. 66 Abs. 1 BGG ). Eine Parteientschädigung ist nicht geschuldet, da keine Vernehmlassung eingeholt wurde. Das Gesuch der Beschwerdeführerin um aufschiebende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