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4A_158/2014 vom 26. August 2014</w:t>
      </w:r>
    </w:p>
    <w:p>
      <w:r>
        <w:t>Bundesgericht, 2014-08-26, FR</w:t>
      </w:r>
    </w:p>
    <w:p>
      <w:r>
        <w:rPr>
          <w:b/>
        </w:rPr>
        <w:t xml:space="preserve">Quelle: </w:t>
      </w:r>
      <w:r>
        <w:t>https://mcp.opencaselaw.ch/entscheid/bger_4A_158_2014</w:t>
      </w:r>
    </w:p>
    <w:p>
      <w:r>
        <w:t>FR: TF 4A_158/2014 du 26 août 2014</w:t>
      </w:r>
    </w:p>
    <w:p>
      <w:r>
        <w:t>IT: TF 4A_158/2014 del 26 agosto 2014</w:t>
      </w:r>
    </w:p>
    <w:p>
      <w:pPr>
        <w:pStyle w:val="Heading2"/>
      </w:pPr>
      <w:r>
        <w:t>Erwägungen</w:t>
      </w:r>
    </w:p>
    <w:p>
      <w:r>
        <w:rPr>
          <w:b/>
        </w:rPr>
        <w:t>E. 1.1</w:t>
      </w:r>
    </w:p>
    <w:p>
      <w:r>
        <w:t>Interjeté par la partie demanderesse qui a entièrement succombé dans son action en libération de dette et qui a ainsi la qualité pour recourir ( art. 76 al. 1 LTF ), dirigé contre un arrêt final ( art. 90 LTF ) rendu en matière civile ( art. 72 al. 1 LTF ) par un tribunal supérieur statuant sur recours ( art. 75 LTF ) dans une affaire pécuniaire dont la valeur litigieuse dépasse largement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sous réserve d'erreurs manifestes ( art. 42 al. 2 LTF ; ATF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L'intimée est domiciliée en Arabie Saoudite, de sorte que la cause revêt un caractère international ( ATF 131 III 76 consid. 2).</w:t>
      </w:r>
    </w:p>
    <w:p>
      <w:r>
        <w:t>Aucune des parties n'a soulevé de griefs à propos du droit appliqué par la cour cantonale, soit le droit suisse. Dans un arrêt 4A_77/2014 du 21 mai 2014 consid. 3.1, le Tribunal fédéral s'est demandé, dans une pareille situation, s'il devait se saisir de son propre chef de la question du droit applicable. Il a rappelé que le principe de l'application du droit d'office, ancré à l' art. 106 al. 1 LTF , trouve sa limite dans l'obligation de motiver qui incombe au recourant ( art. 42 al. 2 LTF ); la juridiction fédérale suprême n'examine en principe que les questions juridiques qui sont soulevées devant lui ( ATF 140 III 86 consid. 2 p. 88 ss). Il convient, comme dans ce précédent, de laisser la question indécise et de contrôler in casu le droit applicable au regard de la loi fédérale du 18 décembre 1987 sur le droit international privé (LDIP; cf. ATF 137 III 481 consid. 2.1).</w:t>
      </w:r>
    </w:p>
    <w:p>
      <w:r>
        <w:t>Il résulte du dossier que les deux parties au litige, qui sont représentées par un avocat, se sont référées au droit interne suisse. Les deux instances cantonales, qui ont successivement examiné la cause, ont fait application de ce même droit. Il faut en conclure qu'il est intervenu, à un certain moment, une élection de droit en faveur du droit suisse ( art. 116 LDIP ). A tout le moins, il sied de déduire de l'attitude des parties en l'espèce la manifestation d'une élection de droit tacite, mais consciente (cf. ATF 130 III 417 consid. 2.2.1 p. 423 et les références; cf. FRANÇOIS KNOEPFLER ET AL., Droit international privé suisse, 3e éd. 2005, n. 503a p. 256 s.).</w:t>
      </w:r>
    </w:p>
    <w:p>
      <w:r>
        <w:rPr>
          <w:b/>
        </w:rPr>
        <w:t>E. 3</w:t>
      </w:r>
    </w:p>
    <w:p>
      <w:r>
        <w:t>Dans son premier moyen, le recourant fait valoir que la créance déduite en justice par l'intimée repose principalement sur des fonds qui ont été prêtés à C.________ par D.________ ainsi que sur une garantie bancaire qui aurait été exécutée par cette dernière société au profit de la première. D.________ devait donc céder ses créances au défunt H.B.________ pour que ce dernier puisse en obtenir paiement. Or un document prouvant une telle cession n'a pas été produit. Ce ne serait que lors de l'audience de plaidoiries tenue le 14 février 2013 par la Chambre patrimoniale que le recourant aurait appris que l'intimée ne produirait pas de cession de créance en faveur de son mari défunt. Le recourant aurait alors compris qu'au moment où il a signé les reconnaissances de dette, il avait été dans l'erreur sur la qualité de créancier de H.B.________. Il allègue qu'il n'aurait jamais émis ses déclarations de volonté s'il avait su que le défunt n'était pas son créancier, mais bien D.________. Pour ne pas l'avoir compris, la cour cantonale aurait violé les art. 23, 24 et 31 CO , ainsi que 147 et 148 CPC.</w:t>
      </w:r>
    </w:p>
    <w:p>
      <w:r>
        <w:rPr>
          <w:b/>
        </w:rPr>
        <w:t>E. 3.1</w:t>
      </w:r>
    </w:p>
    <w:p>
      <w:r>
        <w:t>Le pan du moyen pris d'une violation des art. 147 et 148 CPC ne fait l'objet d'aucun développement, de sorte qu'il est irrecevable ( art. 42 al. 2 LTF ).</w:t>
      </w:r>
    </w:p>
    <w:p>
      <w:r>
        <w:rPr>
          <w:b/>
        </w:rPr>
        <w:t>E. 3.2</w:t>
      </w:r>
    </w:p>
    <w:p>
      <w:r>
        <w:t>Savoir si et dans quelle mesure une partie se trouve dans l'erreur au moment où elle manifeste une volonté ressortit au fait à trancher par l'autorité cantonale ( ATF 118 II 58 consid. 3a et les arrêts cités).</w:t>
      </w:r>
    </w:p>
    <w:p>
      <w:r>
        <w:t>En l'espèce, on ne voit pas que le recourant ait été dans l'erreur au sujet de la personne qui revêt à son encontre la qualité de créancier. En effet, il n'a jamais contesté que les fonds prêtés par contrat du 30 juin 1981 et ceux versés à la suite de l'appel à la garantie bancaire émise le 3 mars 1983 - fonds qui émanaient d'une société dont le défunt mari de l'intimée était propriétaire économique - ont bénéficié à C.________, société pour laquelle le recourant était administrateur. Ce dernier a signé les reconnaissances de dette litigieuses en connaissant l'ensemble de ces circonstances. Le recourant ne risque pas de devoir payer à D.________ les fonds versés au profit de C.________, puisque D.________ n'a pas produit de créance dans la faillite de celui-ci et n'a jamais affirmé en détenir contre lui. La circonstance que l'héritière du créancier ne peut pas établir par documents que les créances étaient détenues exclusivement par son défunt mari peut être considérée, dans de telles circonstances, comme une pure affaire interne entre le créancier et la société qu'il contrôlait économiquement, laquelle ne concerne en rien le recourant.</w:t>
      </w:r>
    </w:p>
    <w:p>
      <w:r>
        <w:rPr>
          <w:b/>
        </w:rPr>
        <w:t>E. 4</w:t>
      </w:r>
    </w:p>
    <w:p>
      <w:r>
        <w:t>Les reconnaissances de dette litigieuses renvoient, uniquement pour le montant de la dette reconnue, au courrier adressé au recourant le 9 avril 1985 par le conseil d'alors de feu H.B.________. Il appert donc que ces reconnaissances de dette n'énoncent pas leur cause dans l'engagement (reconnaissances de dette dite abstraites). Il appartient en conséquence au débiteur qui conteste sa dette d'établir quelle est la cause de l'obligation et de démontrer que cette cause n'est pas valable ou ne peut plus être invoquée (cf. ATF 127 III 559 consid. 4a p. 564; 105 II 183 consid. 4a p. 187).</w:t>
      </w:r>
    </w:p>
    <w:p>
      <w:r>
        <w:rPr>
          <w:b/>
        </w:rPr>
        <w:t>E. 4.1</w:t>
      </w:r>
    </w:p>
    <w:p>
      <w:r>
        <w:t>In casu, le demandeur a échoué à démontrer que les rapports juridiques à la base de la dette reconnue, soit le contrat de prêt du 30 juin 1981 et la garantie bancaire émise le 3 mars 1983, ne peuvent pas être invoqués. Il s'en prend cependant au montant d'intérêts incorporé dans les reconnaissances de dette. Il prétend qu'il serait contraire au droit et arbitraire de retenir, en plus des intérêts conventionnels, des frais de 0,5% par mois. Il se réfère à la lettre écrite le 9 avril 1985 par le conseil d'alors du défunt.</w:t>
      </w:r>
    </w:p>
    <w:p>
      <w:r>
        <w:rPr>
          <w:b/>
        </w:rPr>
        <w:t>E. 4.2</w:t>
      </w:r>
    </w:p>
    <w:p>
      <w:r>
        <w:t>La cour cantonale a retenu que le recourant n'avait pas prouvé que les intérêts et les frais inclus dans la dette reconnue étaient contraires à l'art. 1 de l'ancien Concordat intercantonal du 8 octobre 1957 réprimant les abus en matière d'intérêt conventionnel, dont la réglementation a été reprise à l'art. 81 de la loi vaudoise du 31 mai 2005 sur l'exercice des activités économiques (RSV 930.01).</w:t>
      </w:r>
    </w:p>
    <w:p>
      <w:r>
        <w:t>Le recourant n'invoque pas la transgression de ces normes de droit cantonal et intercantonal. Il n'y a ainsi pas à revenir sur leur application ( art. 106 al. 2 LTF ).</w:t>
      </w:r>
    </w:p>
    <w:p>
      <w:r>
        <w:t>En ce qui concerne le pli du 9 avril 1985, il ne traite nullement des frais justifiés qui peuvent être mis à la charge du débiteur. Cette pièce ne contient du reste aucun décompte, distinguant précisément le capital des accessoires, d'après lequel la dette totale se monte à 465'500 fr. au 30 juin 1985. Il n'était en tout cas pas arbitraire pour l'autorité cantonale de considérer que ce document n'établissait pas que des frais n'étaient pas dus au créancier, en plus de la dette en capital.</w:t>
      </w:r>
    </w:p>
    <w:p>
      <w:r>
        <w:rPr>
          <w:b/>
        </w:rPr>
        <w:t>E. 5</w:t>
      </w:r>
    </w:p>
    <w:p>
      <w:r>
        <w:t>En définitive, le recours doit être rejeté en tant qu'il est recevable. Le recourant, qui succombe, paiera les frais de justice ( art. 66 al. 1 LTF ) et versera une indemnité à titre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