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156/2022 vom 13. September 2022</w:t>
      </w:r>
    </w:p>
    <w:p>
      <w:r>
        <w:t>Bundesgericht, 2022-09-13, FR</w:t>
      </w:r>
    </w:p>
    <w:p>
      <w:r>
        <w:rPr>
          <w:b/>
        </w:rPr>
        <w:t xml:space="preserve">Quelle: </w:t>
      </w:r>
      <w:r>
        <w:t>https://mcp.opencaselaw.ch/entscheid/bger_4A_156_2022</w:t>
      </w:r>
    </w:p>
    <w:p>
      <w:r>
        <w:t>FR: TF 4A 156/2022 du 13 septembre 2022</w:t>
      </w:r>
    </w:p>
    <w:p>
      <w:r>
        <w:t>IT: TF 4A 156/2022 del 13 settembre 2022</w:t>
      </w:r>
    </w:p>
    <w:p>
      <w:pPr>
        <w:pStyle w:val="Heading2"/>
      </w:pPr>
      <w:r>
        <w:t>Regeste</w:t>
      </w:r>
    </w:p>
    <w:p>
      <w:r>
        <w:t>contrat de travail; gratification, | Droit des contrats</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 art. 72 al. 1 LTF ), dont la valeur litigieuse atteint le seuil requis de 15'000 fr.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 in fine). De surcroît, selon la jurisprudence, le Tribunal fédéral n'examine en principe que les griefs qui ont été soulevés devant l'autorité précédente (principe de l'épuisement des griefs; ATF 143 III 290 consid. 1; 145 III 42 consid. 2.2.2).</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Dans deux griefs, la recourante se plaint d'une violation de l' art. 18 CO en ce que la cour cantonale aurait d'une part considéré à tort que le bonus de l'employé lui était dû malgré sa démission, et, d'autre part, en ce qu'elle aurait considéré à tort la manière de calculer les montants sur lesquels les objectifs permettant l'obtention d'un bonus étaient calculés.</w:t>
      </w:r>
    </w:p>
    <w:p>
      <w:r>
        <w:rPr>
          <w:b/>
        </w:rPr>
        <w:t>E. 4</w:t>
      </w:r>
    </w:p>
    <w:p>
      <w:r>
        <w:t>En ce qui concerne son premier grief, la recourante critique l'application des art. 18 CO et 2 CC en ce que la cour cantonale aurait dû considérer, par interprétation objective du contrat de travail en application du principe de la confiance, que l'employé n'avait pas droit à un bonus pour les années 2017 et 2018.</w:t>
      </w:r>
    </w:p>
    <w:p>
      <w:r>
        <w:rPr>
          <w:b/>
        </w:rPr>
        <w:t>E. 4.1</w:t>
      </w:r>
    </w:p>
    <w:p>
      <w:r>
        <w:t>En l'espèce, la cour cantonale n'a nullement procédé à une interprétation objective du contrat. La cour cantonale a uniquement constaté que les parties n'avaient fourni aucune explication sur l'évolution de la rémunération de l'employé depuis la signature du contrat de 2003, et compte tenu du fait que les modalités ont varié au cours des années et qu'il percevait systématiquement un bonus annuel représentant un pourcentage important du salaire de base, a admis son droit au bonus et confirmé le jugement de première instance.</w:t>
      </w:r>
    </w:p>
    <w:p>
      <w:r>
        <w:rPr>
          <w:b/>
        </w:rPr>
        <w:t>E. 4.2</w:t>
      </w:r>
    </w:p>
    <w:p>
      <w:r>
        <w:t>La recourante ne démontre pas l'arbitraire de cette argumentation de la cour cantonale, se limitant à affirmer que durant trois années, le bonus a été subordonné à l'absence de démission. Elle soulève pour la première fois devant le Tribunal fédéral le grief d'une éventuelle violation du principe de la confiance alors même que la cour cantonale ne l'a pas appliqué. Son grief est irrecevable.</w:t>
      </w:r>
    </w:p>
    <w:p>
      <w:r>
        <w:rPr>
          <w:b/>
        </w:rPr>
        <w:t>E. 5.1</w:t>
      </w:r>
    </w:p>
    <w:p>
      <w:r>
        <w:t>Sous le titre de la violation de l' art. 18 CO et 2 CC également, la recourante se plaint de ce que la cour cantonale aurait violé le droit en omettant de retrancher du bénéfice de l'employeuse de 2017, deux factures d'un montant total de 203'725 fr., que l'employé aurait établies prématurément, afin de les intégrer à son objectif annuel et provoquer son droit au paiement de son bonus pour l'année 2017.</w:t>
      </w:r>
    </w:p>
    <w:p>
      <w:r>
        <w:rPr>
          <w:b/>
        </w:rPr>
        <w:t>E. 5.2</w:t>
      </w:r>
    </w:p>
    <w:p>
      <w:r>
        <w:t>Dans l'arrêt attaqué, la cour cantonale a constaté que l'employeuse a elle-même établi les documents dont résultent les objectifs à atteindre, selon le système mis sur pied par les parties. Elle a confirmé l'établissement des faits du tribunal des prud'hommes, lequel s'est fondé sur un témoignage corroborant que l'employé avait effectivement atteint l'objectif qui lui avait été fixé pour l'année 2017, ce qui lui donnait le droit de percevoir son bonus. Au contraire, l'employeuse n'était pas parvenue à prouver son allégation du fait que l'employé n'aurait pas atteint son objectif.</w:t>
      </w:r>
    </w:p>
    <w:p>
      <w:r>
        <w:rPr>
          <w:b/>
        </w:rPr>
        <w:t>E. 5.3</w:t>
      </w:r>
    </w:p>
    <w:p>
      <w:r>
        <w:t>Lorsque la recourante estime que des factures doivent être retranchées de son bénéfice en 2017 et qu'ainsi l'employé n'aurait alors pas atteint son objectif compte tenu du nouveau bénéfice annuel ainsi obtenu, elle ne conteste pas l'application du droit par la cour cantonale, mais elle conteste en réalité l'état de fait retenu par l'autorité. A cet égard, la recourante semble ignorer que le Tribunal fédéral statue sur la base des faits établis par l'autorité précédente en vertu de l' art. 105 al. 1 LTF , pour autant que ceux-ci n'aient pas été établis en violation du principe de l'interdiction de l'arbitraire ou en violation du droit (cf. consid. 2.2 ci-dessus). La recourante n'invoque pas que la cour cantonale ait versé dans l'arbitraire, ni que la correction d'un tel vice soit susceptible d'influer sur le sort de la cause. Son grief est par conséquent irrecevable.</w:t>
      </w:r>
    </w:p>
    <w:p>
      <w:r>
        <w:rPr>
          <w:b/>
        </w:rPr>
        <w:t>E. 6</w:t>
      </w:r>
    </w:p>
    <w:p>
      <w:r>
        <w:t>Au vu de ce qui précède, le recours doit être déclaré irrecevable. La recourante prendra en charge les frais de la procédure. En outre, elle versera à l'intimé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