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156/2020 vom 1. Oktober 2020</w:t>
      </w:r>
    </w:p>
    <w:p>
      <w:r>
        <w:t>Bundesgericht, 2020-10-01, FR</w:t>
      </w:r>
    </w:p>
    <w:p>
      <w:r>
        <w:rPr>
          <w:b/>
        </w:rPr>
        <w:t xml:space="preserve">Quelle: </w:t>
      </w:r>
      <w:r>
        <w:t>https://mcp.opencaselaw.ch/entscheid/bger_4A_156_2020</w:t>
      </w:r>
    </w:p>
    <w:p>
      <w:r>
        <w:t>FR: TF 4A 156/2020 du 1 octobre 2020</w:t>
      </w:r>
    </w:p>
    <w:p>
      <w:r>
        <w:t>IT: TF 4A 156/2020 del 1 ottobre 2020</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utilisé l'anglais. Dans le mémoire adressé au Tribunal fédéral, les recourants ont employé le français. Conformément à sa pratique, le Tribunal fédéral adoptera la langue du recours et rendra, par conséquent, son arrêt en français.</w:t>
      </w:r>
    </w:p>
    <w:p>
      <w:r>
        <w:rPr>
          <w:b/>
        </w:rPr>
        <w:t>E. 2</w:t>
      </w:r>
    </w:p>
    <w:p>
      <w:r>
        <w:t>Dans la sentence attaquée, le Tribunal arbitral, faute de paiement de l'avance de frais requise, a clos la procédure arbitrale, fixé les frais de l'arbitrage et statué sur les dépens. Mettant un terme à l'arbitrage pendant, pour un motif tiré des règles de la procédure, il a rendu, ce faisant, une sentence finale (arrêt 4A_314/2012 du 10 octobre 2012 consid. 2 et les arrêts cités). Ladite sentence est donc susceptible d'un recours en matière civile, au sens de l' art. 77 al. 1 let. a LTF , pour tous les motifs énoncés à l' art. 190 al. 2 LDIP ( ATF 130 III 755 consid.1.2.2 p. 762). Exercé en temps utile ( art. 100 al. 1 LTF ), dans la forme prescrite par la loi ( art. 176 ss LDIP ), le présent recours, dans lequel ne sont invoqués que des griefs limitativement énoncés par l' art. 190 al. 2 LDIP , est recevable au regard de ces différentes exigences. Les recourants ont en outre qualité pour recourir ( art. 76 al. 1 LTF ). Le recours en matière civile est donc recevable au regard des dispositions qui précèdent.</w:t>
      </w:r>
    </w:p>
    <w:p>
      <w:r>
        <w:rPr>
          <w:b/>
        </w:rPr>
        <w:t>E. 3</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 Le siège du Tribunal arbitral se trouve à Genève. Les deux parties n'avaient pas leur domicile en Suisse au moment déterminant. Les dispositions du chapitre 12 de la LDIP sont donc applicables ( art. 176 al. 1 LDIP ).</w:t>
      </w:r>
    </w:p>
    <w:p>
      <w:r>
        <w:rPr>
          <w:b/>
        </w:rPr>
        <w:t>E. 4</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4A_322/2015 du 27 juin 2016 consid. 3 et les précédents cités). Aussi bien, la mission du Tribunal fédéral,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w:t>
      </w:r>
    </w:p>
    <w:p>
      <w:r>
        <w:rPr>
          <w:b/>
        </w:rPr>
        <w:t>E. 5</w:t>
      </w:r>
    </w:p>
    <w:p>
      <w:r>
        <w:t>Dans un premier moyen, les recourants, invoquant l' art. 190 al. 2 let . d LDIP, reprochent au Tribunal arbitral d'avoir violé leur droit d'être entendus ainsi que le principe de l'égalité des parties.</w:t>
      </w:r>
    </w:p>
    <w:p>
      <w:r>
        <w:rPr>
          <w:b/>
        </w:rPr>
        <w:t>E. 5.1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 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(arrêts 4A_491/2017 du 24 mai 2018 consid. 4.1.2 et 4A_247/2017 du 18 avril 2018 consid. 5.1.3). L'égalité des parties, elle aussi garantie par les art. 182 al. 3 et 190 al. 2 let. d LDIP, implique que la procédure soit réglée et conduite de manière à ce que chaque partie ait les mêmes possibilités de faire valoir ses moyens ( ATF 117 II 346 consid. 1a). Le recourant qui se prétend victime d'une inégalité de traitement par rapport à son adverse partie ou qui soutient que le tribunal arbitral a méconnu le principe de la contradiction doit, à tout le moins, tenter de démontrer en quoi l'issue du procès aurait pu être différente si les violations alléguées de son droit d'être entendu n'avaient pas été commises (arrêt 4A_592/2017 du 5 décembre 2017 consid. 4.1.2). C'est le lieu de rappeler que la partie qui s'estime victime d'un vice de procédure doit l'invoquer d'emblée dans la procédure arbitrale, sous peine de forclusion. En effet, il est contraire à la bonne foi de n'invoquer un vice de procédure que dans le cadre du recours dirigé contre une sentence arbitrale, alors que le vice aurait pu être signalé en cours de procédure (arrêt 4A_70/2015 du 29 avril 2015 consid. 3.2.1).</w:t>
      </w:r>
    </w:p>
    <w:p>
      <w:r>
        <w:rPr>
          <w:b/>
        </w:rPr>
        <w:t>E. 5.2</w:t>
      </w:r>
    </w:p>
    <w:p>
      <w:r>
        <w:t>Dans la première branche du moyen considéré, les recourants soutiennent qu'ils n'ont pas disposé du temps nécessaire pour répondre à la requête sur les coûts déposée le 31 juillet 2019 par l'intimée, en soulignant que leurs conseils indiens et serbes ont cessé de les représenter respectivement en date du 13 août et du 2 octobre 2019. Il n'en est rien. Eu égard au déroulement chronologique de la procédure rappelé dans la sentence attaquée, il appert que les recourants se sont vu impartir, dans un premier temps, un délai échéant le 6 septembre 2019 pour se déterminer sur la requête déposée par l'intimée. Sur demande des recourants, le Tribunal arbitral a, malgré l'opposition manifestée par l'intimée, prolongé ledit délai au 30 septembre 2019. Aussi les intéressés ont-ils bénéficié de plus d'un mois et demi pour se prononcer sur la requête de l'intimée. Le 27 septembre 2019, le fils des recourants a requis l'octroi d'une nouvelle prolongation de délai, au motif que ceux-ci n'étaient plus représentés par leurs avocats serbes. Pourtant, les recourants concèdent eux-mêmes dans leur mémoire de recours (recours, n. 86) que lesdits conseils ont résilié leur mandat le 2 octobre 2019, date correspondant du reste à celle figurant dans la sentence attaquée (sentence, n. 1), soit après l'échéance du délai imparti par le Tribunal arbitral (30 septembre 2019). Dans ces conditions, force est d'admettre que les intéressés, assistés de mandataires professionnels, ont disposé du temps nécessaire afin de se déterminer sur la requête déposée par leur adverse partie.</w:t>
      </w:r>
    </w:p>
    <w:p>
      <w:r>
        <w:rPr>
          <w:b/>
        </w:rPr>
        <w:t>E. 5.3</w:t>
      </w:r>
    </w:p>
    <w:p>
      <w:r>
        <w:t>Dans la deuxième branche du moyen considéré, les recourants se plaignent de ce que le Tribunal arbitral a refusé leur demande de prolongation datée du 14 novembre 2019, les contraignant ainsi à déposer dans l'urgence, soit le dernier jour du délai (15 novembre 2019), une réponse au mémoire sur les coûts. Semblable affirmation ne résiste pas à l'examen. Il ressort en effet de la sentence attaquée que le Tribunal arbitral a, par avis du 15 novembre 2019, invité l'intimée à se prononcer sur la demande de prolongation formée la veille. Avant même que l'intimée n'ait pu faire valoir ses observations sur ladite requête, les recourants ont déposé, le jour même, une réponse au mémoire sur les coûts, rendant ainsi sans objet leur demande de prolongation de délai. Dans ces conditions, on ne saurait reprocher au Tribunal arbitral d'avoir refusé une quelconque demande de prolongation. De toute façon, on voit mal comment la simple circonstance alléguée par les recourants puisse être de nature à justifier à elle seule l'annulation de la sentence attaquée dès lors que les intéressés ne démontrent pas véritablement avoir subi un quelconque préjudice du fait qu'ils n'ont pas bénéficié de la prolongation de délai requise par eux.</w:t>
      </w:r>
    </w:p>
    <w:p>
      <w:r>
        <w:rPr>
          <w:b/>
        </w:rPr>
        <w:t>E. 5.4</w:t>
      </w:r>
    </w:p>
    <w:p>
      <w:r>
        <w:t>Dans la troisième et dernière branche du moyen considéré, les recourants prétendent n'avoir pas eu la possibilité de se déterminer sur la réplique déposée le 4 décembre 2019 par l'intimée. Ils reprochent au Tribunal arbitral de ne pas leur avoir offert la possibilité de dupliquer en leur fixant un délai à cet effet. Tel qu'il est présenté, le grief ne saurait prospérer. Il sied d'emblée de rappeler que la garantie du droit d'être entendu n'implique en principe pas, en matière d'arbitrage, un droit absolu à un double échange d'écritures, pour autant que le demandeur ait la possibilité de se déterminer sous une forme ou une autre sur les moyens articulés par le défendeur en second lieu ( ATF 142 III 360 consid. 4.1.2). En l'occurrence, l'intimée expose, sans être contredite par les recourants, avoir déposé une réplique spontanée, c'est-à-dire sans avoir été invitée à le faire. Par conséquent, le Tribunal arbitral n'a en l'espèce pas ordonné de second échange d'écritures. Dans ces circonstances, les recourants ne sauraient se plaindre de ce que le Tribunal arbitral ne leur a pas imparti un délai pour dupliquer. Il leur était en effet loisible de faire usage, à l'instar de leur adverse partie, de leur droit de se déterminer spontanément sur l'écriture de la partie adverse. A cet égard, le fait qu'ils n'étaient alors plus assistés d'un mandataire professionnel n'y change rien. En tout état de cause, on relèvera que plus de deux mois se sont écoulés entre le dépôt de la réplique et le prononcé de la sentence, sans que les recourants n'effectuent la moindre démarche auprès du Tribunal arbitral en vue de requérir la fixation d'un éventuel délai pour dupliquer ou de se plaindre de ne pas se voir accorder la possibilité de dupliquer. Aussi les recourants adoptent-ils un comportement contraire à la bonne foi en invoquant un prétendu vice de procédure qu'ils auraient pu et dû signaler en cours de procédure arbitrale.</w:t>
      </w:r>
    </w:p>
    <w:p>
      <w:r>
        <w:rPr>
          <w:b/>
        </w:rPr>
        <w:t>E. 6</w:t>
      </w:r>
    </w:p>
    <w:p>
      <w:r>
        <w:t>Dans un second moyen, les recourants font valoir que la sentence attaquée est contraire à l'ordre public, dès lors que le montant dû à titre de dépens est exorbitant et hors de proportion avec le stade d'avancement de la procédure arbitrale.</w:t>
      </w:r>
    </w:p>
    <w:p>
      <w:r>
        <w:rPr>
          <w:b/>
        </w:rPr>
        <w:t>E. 6.1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Au demeurant, qu'un motif retenu par le tribunal arbitral heurte l'ordre public n'est pas suffisant; c'est le résultat auquel la sentence aboutit qui doit être incompatible avec l'ordre public ( ATF 138 III 322 consid. 4.1; 120 II 155 consid. 6a p. 167; 116 II 634 consid. 4 p. 637). En théorie, il n'est pas inconcevable que la décision prise par un tribunal arbitral au sujet du montant des dépens puisse contrevenir à l'ordre public matériel. Cependant, dans un domaine (les frais et dépens) où le Tribunal fédéral n'intervient qu'avec la plus grande retenue lorsqu'il est saisi du grief d'arbitraire, il doit s'imposer une réserve encore plus grande quand cette question se pose à lui en matière d'arbitrage international. Il ne suffit ainsi pas que l'on puisse taxer d'excessif le montant des dépens fixé par le tribunal arbitral pour que le juge étatique doive intervenir au titre de la violation de l'ordre public matériel. Encore faut-il, à tout le moins, pour justifier semblable intervention, que les dépens alloués par le tribunal arbitral à la partie qui y a droit soient hors de toute proportion avec les frais nécessaires consentis par cette partie pour la défense de ses droits, eu égard à l'ensemble des circonstances du cas concret, au point de heurter de manière choquante les principes les plus essentiels de l'ordre juridique déterminant (arrêts 4A_524/2009 du 5 mars 2010 consid. 5.2.6.1; 4P.280/2005 du 9 janvier 2006 consid. 2.2.2).</w:t>
      </w:r>
    </w:p>
    <w:p>
      <w:r>
        <w:rPr>
          <w:b/>
        </w:rPr>
        <w:t>E. 6.2</w:t>
      </w:r>
    </w:p>
    <w:p>
      <w:r>
        <w:t>Dans la sentence attaquée, les arbitres aboutissent à la conclusion que les recourants doivent supporter intégralement les frais de la procédure arbitrale et verser à leur adverse partie une indemnité de 653'089.31 euros à titre de dépens, montant correspondant à celui réclamé par l'intimée. Ils relèvent que celle-ci a choisi son conseil à la suite d'un appel d'offres et que les honoraires convenus étaient raisonnables. Le Tribunal arbitral souligne ensuite que l'adjudicataire s'est adjoint les services de conseils macédoniens pour l'assister, ce qui est une pratique courante en présence de différends présentant un caractère international. Il considère aussi que la disparité entre les honoraires d'avocat des différentes parties ne signifie pas pour autant que les frais de défense plus élevés d'une partie seraient déraisonnables. Il note également que l'intimée a indiqué avoir dû examiner les problèmes de solvabilité évoqués dans la notice d'arbitrage et constate que cet acte était un document très complet accompagné de 46 annexes. Dans ces conditions, les arbitres sont d'avis que le montant réclamé par l'intimée pour ses frais de défense est raisonnable, et ce même si les recourants n'avaient pas encore déposé leur mémoire de demande.</w:t>
      </w:r>
    </w:p>
    <w:p>
      <w:r>
        <w:rPr>
          <w:b/>
        </w:rPr>
        <w:t>E. 6.3</w:t>
      </w:r>
    </w:p>
    <w:p>
      <w:r>
        <w:t>Les recourants ne contestent pas la clé de répartition des frais et dépens. Ils font cependant valoir que les frais engagés par l'intimée sont déraisonnables et disproportionnés. Selon eux, un demandeur qui décide de renoncer à poursuivre la procédure arbitrale, à un stade précoce, devrait pouvoir le faire sans s'exposer au risque de devoir payer des frais considérables. Les intéressés affirment que le montant alloué à l'intimée à titre de dépens est disproportionné compte tenu du stade d'avancement de la procédure arbitrale. A les en croire, les frais de défense allégués par l'intimée se rapporteraient à la " défense au fond " ainsi qu'à des opérations sans lien avec la présente procédure. Aussi les recourants reprochent-ils à l'intimée d'avoir voulu " anticiper la préparation de sa réponse au fond " alors même qu'ils n'avaient pas encore déposé leur demande.</w:t>
      </w:r>
    </w:p>
    <w:p>
      <w:r>
        <w:rPr>
          <w:b/>
        </w:rPr>
        <w:t>E. 6.4</w:t>
      </w:r>
    </w:p>
    <w:p>
      <w:r>
        <w:t>Semblable argumentation n'emporte pas la conviction de la Cour de céans. Les recourants ne sauraient en effet tirer profit de leurs atermoiements et des nombreuses demandes de prolongation de délai requises par eux pour venir aujourd'hui soutenir que l'intimée aurait dû réaliser que la procédure arbitrale risquait de ne pas se poursuivre et s'abstenir ainsi de préparer sa défense sur le fond. En tout état de cause, les motifs par lesquels le Tribunal arbitral a cherché à démontrer le caractère raisonnable des dépens réclamés par l'intimée et le résultat auquel ont abouti les arbitres n'apparaissent nullement incompatibles avec les valeurs essentielles et largement reconnues qui, selon les conceptions prévalant en Suisse, devraient constituer le fondement de tout ordre juridique. Les explications détaillées fournies par l'intimée pour justifier le montant des frais de défense litigieux permettent d'exclure l'hypothèse dans laquelle il n'y aurait aucune commune mesure entre les dépens alloués à l'intimée, d'une part, et les services fournis par ses conseils ainsi que l'importance de la cause, d'autre part. Par conséquent, le moyen tiré de la violation de l'ordre public se révèle infondé. Cela étant, le présent recours ne peut qu'être rejeté.</w:t>
      </w:r>
    </w:p>
    <w:p>
      <w:r>
        <w:rPr>
          <w:b/>
        </w:rPr>
        <w:t>E. 7</w:t>
      </w:r>
    </w:p>
    <w:p>
      <w:r>
        <w:t>Les recourants, qui succombent, seront condamnés solidairement à payer les frais de la procédure fédérale ( art. 66 al. 1 et 5 LTF ) et à verser des dépens à l'intimée (art.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