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4A_156/2019 vom 18. April 2019</w:t>
      </w:r>
    </w:p>
    <w:p>
      <w:r>
        <w:t>Bundesgericht, 2019-04-18, DE</w:t>
      </w:r>
    </w:p>
    <w:p>
      <w:r>
        <w:rPr>
          <w:b/>
        </w:rPr>
        <w:t xml:space="preserve">Quelle: </w:t>
      </w:r>
      <w:r>
        <w:t>https://mcp.opencaselaw.ch/entscheid/bger_4A_156_2019</w:t>
      </w:r>
    </w:p>
    <w:p>
      <w:r>
        <w:t>FR: TF 4A_156/2019 du 18 avril 2019</w:t>
      </w:r>
    </w:p>
    <w:p>
      <w:r>
        <w:t>IT: TF 4A_156/2019 del 18 aprile 2019</w:t>
      </w:r>
    </w:p>
    <w:p>
      <w:pPr>
        <w:pStyle w:val="Heading2"/>
      </w:pPr>
      <w:r>
        <w:t>Erwägungen</w:t>
      </w:r>
    </w:p>
    <w:p>
      <w:r>
        <w:rPr>
          <w:b/>
        </w:rPr>
        <w:t>E. 1</w:t>
      </w:r>
    </w:p>
    <w:p>
      <w:r>
        <w:t>Die A.________ Sàrl (Beschwerdeführerin 1) ist eine Gesellschaft mit beschränkter Haftung mit Sitz in Zürich.</w:t>
      </w:r>
    </w:p>
    <w:p>
      <w:r>
        <w:t>Mit Verfügung vom 8. Oktober 2018 nahm das Handelsregisteramt des Kantons Zürich von Amtes wegen die Eintragung einer Stammanteilsübertragung vor und trug C.________ als neuen Gesellschafter der A.________ Sàrl im Handelsregister ein. Ferner auferlegte es dem Gesellschafter und Geschäftsführer der A.________ Sàrl, B.________ (Beschwerdeführer 2), die Eintragungsgebühren von Fr. 211.60 und belegte ihn wegen Nichtbefolgung seiner Anmeldepflicht gestützt auf Art. 943 Abs. 1 OR mit einer Busse von Fr. 200.--.</w:t>
      </w:r>
    </w:p>
    <w:p>
      <w:r>
        <w:t>Die von der A.________ Sàrl und B.________ dagegen erhobene Beschwerde wies das Verwaltungsgericht des Kantons Zürich mit Urteil vom 26. Februar 2019 ab, soweit es darauf eintrat.</w:t>
      </w:r>
    </w:p>
    <w:p>
      <w:r>
        <w:t>Mit Eingabe vom 3. April 2019 haben die A.________ Sàrl und B.________ erklärt, das Urteil des Verwaltungsgerichts mit Beschwerde anzufechten. Es wurden keine Vernehmlassungen eingeholt.</w:t>
      </w:r>
    </w:p>
    <w:p>
      <w:r>
        <w:rPr>
          <w:b/>
        </w:rPr>
        <w:t>E. 2</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w:t>
      </w:r>
    </w:p>
    <w:p>
      <w:r>
        <w:t>In ihrer Eingabe vom 3. April 2019 behaupteten die Beschwerdeführer pauschal, der "Entscheid über den Handelsregistereintrag" sei "einseitig" und trage ihrer Sicht der Dinge "nicht genügend Rechnung". Damit genügt die Begründung den genannten Anforderungen offensichtlich nicht, weshalb auf die Beschwerde im vereinfachten Verfahren nach Art. 108 Abs. 1 lit. b BGG nicht einzutreten ist.</w:t>
      </w:r>
    </w:p>
    <w:p>
      <w:r>
        <w:rPr>
          <w:b/>
        </w:rPr>
        <w:t>E. 3</w:t>
      </w:r>
    </w:p>
    <w:p>
      <w:r>
        <w:t>Ausnahmsweise sind keine Gerichtskosten zu erheben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