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4A_156/2016 vom 23. August 2016</w:t>
      </w:r>
    </w:p>
    <w:p>
      <w:r>
        <w:t>Bundesgericht, 2016-08-23, DE</w:t>
      </w:r>
    </w:p>
    <w:p>
      <w:r>
        <w:rPr>
          <w:b/>
        </w:rPr>
        <w:t xml:space="preserve">Quelle: </w:t>
      </w:r>
      <w:r>
        <w:t>https://mcp.opencaselaw.ch/entscheid/bger_4A_156_2016</w:t>
      </w:r>
    </w:p>
    <w:p>
      <w:r>
        <w:t>FR: TF 4A_156/2016 du 23 août 2016</w:t>
      </w:r>
    </w:p>
    <w:p>
      <w:r>
        <w:t>IT: TF 4A_156/2016 del 23 agosto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Angefochten ist ein Teilschiedsspruch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 Art. 176 ff. IPRG ) Anwendung finden sollen (vgl. Art. 353 Abs. 2 ZPO [SR 272]).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Teilschiedsspruch unterliegt somit der Beschwerde an das Bundesgericht ( Art. 389 Abs. 1 und Art. 392 lit. a ZPO sowie Art. 77 Abs. 1 lit. b BGG ).</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 4A_424/2011 vom 2. November 2011 E. 1.3 mit Hinweisen).</w:t>
      </w:r>
    </w:p>
    <w:p>
      <w:r>
        <w:rPr>
          <w:b/>
        </w:rPr>
        <w:t>E. 1.3</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S. 90 mit Hinweisen).</w:t>
      </w:r>
    </w:p>
    <w:p>
      <w:r>
        <w:rPr>
          <w:b/>
        </w:rPr>
        <w:t>E. 2</w:t>
      </w:r>
    </w:p>
    <w:p>
      <w:r>
        <w:t>Der Beschwerdeführer rügt, das Schiedsgericht sei gemäss dem klaren Wortlaut der Schiedsklausel in Ziff. 9 des Vertrags vom 26. Januar 2011 nur zur Beurteilung vertragsrechtlicher Ansprüche im Zusammenhang mit der Vertragserfüllung, nicht aber zur Beurteilung ausservertraglicher Ansprüche aus Nachbarrecht zuständig gewesen. Das Schiedsgericht habe daher der Schiedsbeklagten keine Ansprüche aus Nachbarrecht zusprechen dürfen.</w:t>
      </w:r>
    </w:p>
    <w:p>
      <w:r>
        <w:rPr>
          <w:b/>
        </w:rPr>
        <w:t>E. 2.1</w:t>
      </w:r>
    </w:p>
    <w:p>
      <w:r>
        <w:t>Nach Art. 359 Abs. 2 ZPO ist die Einrede der Unzuständigkeit des Schiedsgerichts vor der Einlassung auf die Hauptsache zu erheben. Dabei handelt es sich um einen Anwendungsfall des Grundsatzes von Treu und Glauben (vgl. Art. 52 ZPO ), der auch im Bereich der Schiedsgerichtsbarkeit zu beachten ist. Unterbleibt eine entsprechende Einrede, wird die Zuständigkeit kraft Einlassung begründet. Entsprechend anerkennt die Partei, die sich zur Sache geäussert hat, ohne einen entsprechenden Einwand zu erheben, die Zuständigkeit des Schiedsgerichts und kann sich in der Folge nicht mehr auf dessen Unzuständigkeit berufen ( BGE 128 III 50 E. 2c/aa mit Hinweisen; Urteil 4A_172/2015 vom 29. September 2015 E. 3.1).</w:t>
      </w:r>
    </w:p>
    <w:p>
      <w:r>
        <w:rPr>
          <w:b/>
        </w:rPr>
        <w:t>E. 2.2</w:t>
      </w:r>
    </w:p>
    <w:p>
      <w:r>
        <w:t>Der Beschwerdeführer gibt in seiner Beschwerdeschrift zu, dass er im Schiedsverfahren keine Unzuständigkeitseinrede erhoben hat. Er macht aber geltend, dass er bis zur Urteilsausfällung immer davon ausgegangen sei, dass es sich um eine Streitigkeit mit " ausschliesslich vertraglichem Hintergrund " handle. Er habe bis zur Zustellung des Teilurteils nicht wissen können, dass der Schiedsrichter den Streit als ausservertragliche Haftpflichtsache beurteilen würde.</w:t>
      </w:r>
    </w:p>
    <w:p>
      <w:r>
        <w:rPr>
          <w:b/>
        </w:rPr>
        <w:t>E. 2.3</w:t>
      </w:r>
    </w:p>
    <w:p>
      <w:r>
        <w:t>Die Rüge geht fehl: Bereits in der Klageschrift vom 27. Februar 2013 hat die Beschwerdegegnerin ihr Rechtsbegehren Ziff. 2 unter anderem auf die nachbarrechtliche Bestimmung von Art. 679 ZGB und damit auf eine ausservertragliche Anspruchsgrundlage abgestützt. Der Beschwerdeführer wusste also schon zu Beginn des Verfahrens, dass die Beschwerdegegnerin ihre Ansprüche nicht nur aus Vertrag, sondern auch aus Nachbarrecht ableitet. In der Folge hat er aber in keiner Weise geltend gemacht, das Schiedsgericht sei zur Beurteilung nachbarrechtlicher Ansprüche nicht zuständig. Im Gegenteil hat sich der Beschwerdeführer bereits in seiner Klageantwort und anschliessend auch im weiteren Verfahrensverlauf mit der Argumentation der Beschwerdegegnerin auseinandergesetzt, ohne dabei geltend zu machen, dass nachbarrechtliche Ansprüche vom sachlichen Anwendungsbereich der Schiedsklausel ausgeschlossen seien. Damit hat er sich aber auf die Hauptsache vollumfänglich so eingelassen, wie sie von der Beschwerdegegnerin mit ihren Klagebegehren und ihrer Klagebegründung definiert wurde. Es ist ihm daher verwehrt, sich nunmehr im Beschwerdeverfahren vor Bundesgericht auf die Unzuständigkeit des Schiedsrichters zu berufen.</w:t>
      </w:r>
    </w:p>
    <w:p>
      <w:r>
        <w:rPr>
          <w:b/>
        </w:rPr>
        <w:t>E. 3</w:t>
      </w:r>
    </w:p>
    <w:p>
      <w:r>
        <w:t>Auf den Seiten 6 - 16 seiner Beschwerdeschrift ruft der Beschwerdeführer sinngemäss den Rügegrund von Art. 393 lit. e ZPO an. Er macht geltend, die bejahte Haftpflicht stelle "eine krasse Rechtsverletzung bzw. eine willkürliche Beurteilung " dar; die Annahme des Schiedsgerichts, dass der "Schlamm-Schaden" in quantitativer Hinsicht belegt und bewiesen sei, sei " aktenwidrig und willkürlich ", und der Umstand, dass das Schiedsgericht "eine als solche und in der Höhe unbewiesene Schadensposition" zuspreche, bedeute eine " offensichtliche Rechtsverletzung ".</w:t>
      </w:r>
    </w:p>
    <w:p>
      <w:r>
        <w:rPr>
          <w:b/>
        </w:rPr>
        <w:t>E. 3.1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Willkürtatbestandes in Art. 393 lit. e ZPO stimmt mit dem Begriff der Willkür überein, den das Bundesgericht zu Art. 9 BV entwickelt hat ( BGE 131 I 45 E. 3.4 S. 48).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S. 5 ; 136 I 316 E. 2.2.2 S. 318 f.). Die Tatbestände, hinsichtlich derer Willkür im genannten Sinne geltend gemacht werden kann, sind jedoch eingeschränkt. 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S. 49 f.; Urteile 4A_454/2011 vom 27. Oktober 2011 E. 2.2; 4A_424/2011 vom 2. November 2011 E. 2.1; 4A_390/2014 vom 20. Februar 2015 E. 3.2).</w:t>
      </w:r>
    </w:p>
    <w:p>
      <w:r>
        <w:rPr>
          <w:b/>
        </w:rPr>
        <w:t>E. 3.2</w:t>
      </w:r>
    </w:p>
    <w:p>
      <w:r>
        <w:t>Mit seinen Vorbringen vermag der Beschwerdeführer weder willkürliche Rechtsanwendung noch aktenwidrige Tatsachenfeststellungen darzutun.</w:t>
      </w:r>
    </w:p>
    <w:p>
      <w:r>
        <w:t>Er begnügt sich im Wesentlichen damit, dem Bundesgericht in appellatorischer Weise seine eigene Sicht der Dinge zu präsentieren, dies unter Anrufung vorinstanzlich nicht festgestellter Sachverhaltselemente und ohne auf die Erwägungen des Schiedsgerichts einzugehen, geschweige denn anhand dieser im Einzelnen darzutun, inwiefern sich der Rügegrund von Art. 393 lit. e ZPO verwirklicht haben soll. Seine Ausführungen genügen bereits den Begründungsanforderungen nach Art. 77 Abs. 3 BGG nicht.</w:t>
      </w:r>
    </w:p>
    <w:p>
      <w:r>
        <w:t>Soweit er dem Schiedsgericht schliesslich vorwirft, dieses habe im Zusammenhang mit der bejahten Haftpflicht die Widerrechtlichkeit, das Verschulden und den Kausalzusammenhang nicht begründet, trifft dies mit Blick auf die Erwägungen auf den S. 33 ff. des angefochtenen Entscheids offensichtlich nicht zu. Wenn der Beschwerdeführer sodann rügt, das Schadensausmass sei nicht bewiesen, legt er gerade nicht dar, dass sich die Vorinstanz infolge eines Versehens mit den Akten in Widerspruch gesetzt hätte, sondern macht in unzulässiger Weise eine angeblich unzutreffende Beweiswürdigung geltend. Die Rügen sind - soweit überhaupt zulässig - unbegründet.</w:t>
      </w:r>
    </w:p>
    <w:p>
      <w:r>
        <w:rPr>
          <w:b/>
        </w:rPr>
        <w:t>E. 4</w:t>
      </w:r>
    </w:p>
    <w:p>
      <w:r>
        <w:t>Der Beschwerdeführer macht weiter eine Verletzung seines rechtlichen Gehörs ( Art. 393 lit. d ZPO ) geltend. Das Schiedsgericht halte in Ziff. 2 Abs. 3 des Urteilsdispositivs fest, dass für eine vorsorgliche Beweisaufnahme Kosten von Fr. 24'777.20 angefallen seien und die Beschwerdegegnerin für diese Rückgriff nehmen könne. Eine nachvollziehbare Spezifikation dieser Kosten lasse sich dem Schiedsspruch indessen nicht entnehmen und es sei auch nicht ersichtlich, an wen diese Zahlungen geflossen sein sollten.</w:t>
      </w:r>
    </w:p>
    <w:p>
      <w:r>
        <w:t>Der Vorwurf trifft ins Leere: Für die Spezifikation der vorsorglichen Beweisaufnahmekosten von Fr. 24'777.20 wird auf S. 45 des angefochtenen Teilschiedsspruchs auf die Abschreibungsverfügung des Schiedsgerichts vom 13. Juni 2014 (act. 64) verwiesen. Dort werden die Verfahrensgebühr von Fr. 9'180.-- sowie Kosten für die Expertin C.________ GmbH von Fr. 15'597.20, ausmachend total Fr. 24'777.20, ausgewiesen.</w:t>
      </w:r>
    </w:p>
    <w:p>
      <w:r>
        <w:rPr>
          <w:b/>
        </w:rPr>
        <w:t>E. 5</w:t>
      </w:r>
    </w:p>
    <w:p>
      <w:r>
        <w:t>Die Beschwerde ist abzuweisen, soweit darauf einzutreten ist.</w:t>
      </w:r>
    </w:p>
    <w:p>
      <w:r>
        <w:t>Bei diesem Ausgang des Verfahrens wird der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