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4A_156/2012 vom 31. Mai 2012</w:t>
      </w:r>
    </w:p>
    <w:p>
      <w:r>
        <w:t>Bundesgericht, 2012-05-31, DE</w:t>
      </w:r>
    </w:p>
    <w:p>
      <w:r>
        <w:rPr>
          <w:b/>
        </w:rPr>
        <w:t xml:space="preserve">Quelle: </w:t>
      </w:r>
      <w:r>
        <w:t>https://mcp.opencaselaw.ch/entscheid/bger_4A_156_2012</w:t>
      </w:r>
    </w:p>
    <w:p>
      <w:r>
        <w:t>FR: TF 4A_156/2012 du 31 mai 2012</w:t>
      </w:r>
    </w:p>
    <w:p>
      <w:r>
        <w:t>IT: TF 4A_156/2012 del 31 maggio 2012</w:t>
      </w:r>
    </w:p>
    <w:p>
      <w:pPr>
        <w:pStyle w:val="Heading2"/>
      </w:pPr>
      <w:r>
        <w:t>Erwägungen</w:t>
      </w:r>
    </w:p>
    <w:p>
      <w:r>
        <w:rPr>
          <w:b/>
        </w:rPr>
        <w:t>E. 1</w:t>
      </w:r>
    </w:p>
    <w:p>
      <w:r>
        <w:t>Das Bundesgericht prüft von Amtes wegen und mit freier Kognition, ob ein Rechtsmittel zulässig ist ( BGE 137 III 417 E. 1; 136 II 436 E. 1, 101 E. 1).</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 Art. 100 Abs. 1 BGG ). Auf die Beschwerde ist somit unter Vorbehalt einer hinreichenden Begründung (Art. 42 Abs. 2 i.V.m. Art. 106 Abs. 2 BGG ; vgl. E. 1.2) einzutreten.</w:t>
      </w:r>
    </w:p>
    <w:p>
      <w:r>
        <w:rPr>
          <w:b/>
        </w:rPr>
        <w:t>E. 1.2.1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133 III 393 E. 6, 439 E. 3.2).</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121 III 397 E. 2a; 116 II 745 E. 3 S. 749). Die Begründung hat ferner in der Beschwerdeschrift selbst zu erfolgen, der blosse Verweis auf Ausführungen in anderen Rechtsschriften oder auf die Akten reicht nicht aus ( BGE 133 II 396 E. 3.1 S. 400).</w:t>
      </w:r>
    </w:p>
    <w:p>
      <w:r>
        <w:rPr>
          <w:b/>
        </w:rPr>
        <w:t>E. 1.2.2</w:t>
      </w:r>
    </w:p>
    <w:p>
      <w:r>
        <w:t>Diese Grundsätze verkennt die Beschwerdeführerin teilweise. Sie wirft der Vorinstanz vor, diese habe willkürlich nicht berücksichtigt, dass sie Arbeiten im Umfang von Fr. 10'315.60 geleistet habe. Jedenfalls der vom damaligen Bauleiter unterzeichnete Regierapport vom 19. April 2001 über 10 Arbeitsstunden, ausmachend Fr. 682.90, sei zu berücksichtigen. Die Beschwerdeführerin verweist in diesem Zusammenhang ergänzend auf ihre Ausführungen in der Klage und der Berufung. Sie geht indessen in keiner Weise auf die sich über mehrere Seiten erstreckenden Ausführungen der Vorinstanz zu diesem Punkt ein. Damit genügt sie den Begründungsanforderungen nicht. Dasselbe gilt in Bezug auf die Rüge, die Vorinstanz habe mehrere in der Berufung vorgebrachte Rügen im Zusammenhang mit der Berechnung des Schadens des Beschwerdegegners nicht berücksichtigt. Ihre Vorbringen dazu erschöpfen sich im Wesentlichen in appellatorischer Kritik. Zudem verweist sie zur Begründung der Rügen in erster Linie auf ihre Berufung und geht auch hier nicht auf die Ausführungen der Vorinstanz zur Schadensberechnung ein. Auf diese Rügen ist nicht einzutreten.</w:t>
      </w:r>
    </w:p>
    <w:p>
      <w:r>
        <w:rPr>
          <w:b/>
        </w:rPr>
        <w:t>E. 2</w:t>
      </w:r>
    </w:p>
    <w:p>
      <w:r>
        <w:t>Die Beschwerdeführerin rügt eine unrichtige Feststellung des Sachverhalts. Entgegen der Ansicht der Vorinstanz sei sie nicht im Besitz der für die Fortsetzung der Gipserarbeiten notwendigen Pläne des Hauses 28 gewesen.</w:t>
      </w:r>
    </w:p>
    <w:p>
      <w:r>
        <w:rPr>
          <w:b/>
        </w:rPr>
        <w:t>E. 2.1</w:t>
      </w:r>
    </w:p>
    <w:p>
      <w:r>
        <w:t>Die Vorinstanz hat ausgeführt, es sei erstellt, dass der Beschwerdeführerin zwei als Lieferscheine bezeichnete Schreiben vom 27. April 2001 zugestellt worden seien. Diesen Lieferscheinen seien eine Aktennotiz und Pläne angefügt gewesen. Darin seien schlüssige Angaben zu den getroffenen Vereinbarungen und zum weiteren Vorgehen betreffend Masse, Stellen der Trennwände und Befestigung der Sanitärinstallationen gemacht worden. Die Vorinstanz verwies dazu auf verschiedene Schriftstücke sowie auf die Zeugenaussagen des Architekten als Absender der Lieferscheine. Was konkret es der Beschwerdeführerin vor diesem Hintergrund unzumutbar gemacht haben sollte, ihre Arbeit wieder aufzunehmen, habe sie weder in ihrem Schreiben vom 30. April 2001 an den Beschwerdegegner noch im Prozess dargelegt, geschweige denn belegt.</w:t>
      </w:r>
    </w:p>
    <w:p>
      <w:r>
        <w:rPr>
          <w:b/>
        </w:rPr>
        <w:t>E. 2.2</w:t>
      </w:r>
    </w:p>
    <w:p>
      <w:r>
        <w:t>Die Beschwerdeführerin bringt vor, ihr sei lediglich ein Lieferschein mit einem Detailschnitt zum Haus 30 zugegangen. Es mache keinen Sinn, dass ein Architekt gleichentags zwei verschiedene Lieferscheine versende. Dessen entsprechende Aussage sei eine klare Schutzbehauptung. Es sei deshalb davon auszugehen, dass der Beleg zum zweiten Lieferschein nachträglich erstellt worden sei. Mit einem Detailschnitt zum Haus 30 anstatt der Planunterlagen von Haus 28 sei sie aber nicht in der Lage gewesen, ihre Arbeiten fortzusetzen. Dies habe sie entgegen der vorinstanzlichen Feststellung auch im Prozess stets vorgebracht.</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w:t>
      </w:r>
    </w:p>
    <w:p>
      <w:r>
        <w:t>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w:t>
      </w:r>
    </w:p>
    <w:p>
      <w:r>
        <w:rPr>
          <w:b/>
        </w:rPr>
        <w:t>E. 2.4</w:t>
      </w:r>
    </w:p>
    <w:p>
      <w:r>
        <w:t>Die Beschwerdeführerin begnügt sich zur Begründung der willkürlichen Sachverhaltsfeststellung mit der blossen Behauptung, sie habe vom Architekten keinen zweiten Lieferschein mit Plänen und einer Aktennotiz erhalten. Dabei legt die Beschwerdeführerin nicht dar, weshalb der Architekt eine gegenteilige Falschaussage machen sollte. Auch der Hinweis, zwei Lieferscheine an einem Tag zu versenden mache keinen Sinn, reicht als Nachweis dafür, dass die Vorinstanz in Willkür verfallen wäre, nicht aus. Denn die in der Beweiswürdigung gezogenen Schlüsse sind noch nicht offensichtlich unhaltbar, wenn die Beweise möglicherweise auch anders hätten gewürdigt werden können. Die Rüge erweist sich damit als unbegründet.</w:t>
      </w:r>
    </w:p>
    <w:p>
      <w:r>
        <w:rPr>
          <w:b/>
        </w:rPr>
        <w:t>E. 3</w:t>
      </w:r>
    </w:p>
    <w:p>
      <w:r>
        <w:t>Die Beschwerdeführerin rügt weiter, die Vorinstanz habe ihr Recht auf Beweis und den Grundsatz der Waffengleichheit verletzt, indem sie die Befragung von B.________ verweigert habe. Die Vorinstanz hat ausgeführt, die Befragung von B.________ als Partei würde am Beweisergebnis nichts ändern, weshalb darauf zu verzichten sei. Die Beschwerdeführerin macht geltend, entgegen dieser Darstellung hätte sich durch diese Befragung mit Sicherheit etwas am Beweisergebnis geändert, da B.________ ausführliche Aussagen zu den Vereinbarungen, welche er mit dem Beschwerdegegner getroffen habe, hätte machen können. Zudem hätte er Aussagen dazu machen können, ob er die Pläne tatsächlich erhalten habe, wie ihm dies unterstellt werde.</w:t>
      </w:r>
    </w:p>
    <w:p>
      <w:r>
        <w:rPr>
          <w:b/>
        </w:rPr>
        <w:t>E. 3.1</w:t>
      </w:r>
    </w:p>
    <w:p>
      <w:r>
        <w:t>Das Recht auf Beweis ( Art. 29 Abs. 2 BV ) schliesst die vorweggenommene Beweiswürdigung nicht aus ( BGE 129 III 18 E. 2.6 S. 25; 126 III 315 E. 4a S. 317; je mit Hinweisen). Auch der Anspruch auf Waffengleichheit verleiht kein unbeschränktes Recht auf Zulassung zum Beweis ( BGE 122 V 157 E. 2c S. 164). Es bleibt dem Sachgericht unbenommen, von beantragten Beweiserhebungen deshalb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 f. mit Hinweisen, vgl. auch BGE 134 I 140 E. 5.3 S. 148; 130 II 425 E. 2.1 S. 429 mit Hinweisen). 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S. 211 ; 129 I 8 E. 2.1 S. 9).</w:t>
      </w:r>
    </w:p>
    <w:p>
      <w:r>
        <w:rPr>
          <w:b/>
        </w:rPr>
        <w:t>E. 3.2</w:t>
      </w:r>
    </w:p>
    <w:p>
      <w:r>
        <w:t>Die Beschwerdeführerin legt weder dar, zu welchen Vereinbarungen B.________ hätte befragt werden müssen, noch inwiefern diese Vereinbarungen für den Ausgang des Verfahrens relevant gewesen wären. Die Beschwerdeführerin hatte zudem bereits vor der Vorinstanz schriftlich bestritten, dass sie die benötigten Pläne erhalten habe. Dennoch erachtete dies die Vorinstanz aufgrund verschiedener Schriftstücke und der Zeugenaussagen des Architekten als erwiesen (vgl. E. 2.1). Die Beschwerdeführerin legt nicht dar, inwiefern sich daran etwas geändert hätte, wenn B.________ die bereits schriftlich dargelegten Behauptungen noch mündlich als Partei bekräftigt hätte. Es ist jedenfalls nicht ersichtlich, inwiefern die Vorinstanz in Willkür verfallen wäre, indem sie die Parteibefragung abgelehnt hat. Die Rüge ist unbegründet.</w:t>
      </w:r>
    </w:p>
    <w:p>
      <w:r>
        <w:rPr>
          <w:b/>
        </w:rPr>
        <w:t>E. 4</w:t>
      </w:r>
    </w:p>
    <w:p>
      <w:r>
        <w:t>Nach dem Gesagten ist die Beschwerde abzuweisen, soweit darauf einzutreten ist. Damit wird die Beschwerdeführerin kostenpflichtig ( Art. 66 Abs. 1 BGG ). Eine Parteientschädigung ist hingegen nicht geschuldet, da beim Beschwerdegegner keine Vernehmlassung zur Sache eingeholt wurde und dieser ohnehin nicht anwaltlich vertreten ist ( Art. 68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