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4A_155/2026 vom 12. Mai 2026</w:t>
      </w:r>
    </w:p>
    <w:p>
      <w:r>
        <w:t>Bundesgericht, 2026-05-12, DE</w:t>
      </w:r>
    </w:p>
    <w:p>
      <w:r>
        <w:rPr>
          <w:b/>
        </w:rPr>
        <w:t xml:space="preserve">Quelle: </w:t>
      </w:r>
      <w:r>
        <w:t>https://mcp.opencaselaw.ch/entscheid/bger_4A_155_2026</w:t>
      </w:r>
    </w:p>
    <w:p>
      <w:r>
        <w:t>FR: TF 4A_155/2026 du 12 mai 2026</w:t>
      </w:r>
    </w:p>
    <w:p>
      <w:r>
        <w:t>IT: TF 4A_155/2026 del 12 maggio 2026</w:t>
      </w:r>
    </w:p>
    <w:p>
      <w:pPr>
        <w:pStyle w:val="Heading2"/>
      </w:pPr>
      <w:r>
        <w:t>Erwägungen</w:t>
      </w:r>
    </w:p>
    <w:p>
      <w:r>
        <w:rPr>
          <w:b/>
        </w:rPr>
        <w:t>E. 1</w:t>
      </w:r>
    </w:p>
    <w:p>
      <w:r>
        <w:t>Mit Urteil vom 18. Juni 2025 verpflichtete das Bezirksgericht Luzern den Beschwerdeführer und die Verfahrensbeteiligte, innert 10 Tagen seit Rechtskraft des Urteils die 2.5-Zimmer-Wohnung im 3. Obergeschoss der Liegenschaft U.________ sowie die Parkplätze in der Einstellhalle der Liegenschaft zu räumen, zu reinigen und zu verlassen und dem Beschwerdegegner sämtliche Schlüssel der Mietobjekte zu übergeben.</w:t>
      </w:r>
    </w:p>
    <w:p>
      <w:r>
        <w:t>Mit Urteil vom 13. März 2026 wies das Kantonsgericht Luzern eine vom Beschwerdeführer und der Verfahrensbeteiligten gegen das bezirksgerichtliche Urteil vom 18. Juni 2025 erhobene Berufung ab, soweit es darauf eintrat.</w:t>
      </w:r>
    </w:p>
    <w:p>
      <w:r>
        <w:t>Mit Eingabe vom 30. März 2026 erklärte der Beschwerdeführer dem Bundesgericht, den Entscheid des Kantonsgerichts Luzern vom 13. März 2026 mit Beschwerde anfechten zu wollen.</w:t>
      </w:r>
    </w:p>
    <w:p>
      <w:r>
        <w:t>Am 23. April 2026 reichte der Beschwerdeführer dem Bundesgericht eine weitere Eingabe ein.</w:t>
      </w:r>
    </w:p>
    <w:p>
      <w:r>
        <w:t>Es wurden keine Vernehmlassungen eingeholt.</w:t>
      </w:r>
    </w:p>
    <w:p>
      <w:r>
        <w:rPr>
          <w:b/>
        </w:rPr>
        <w:t>E. 2</w:t>
      </w:r>
    </w:p>
    <w:p>
      <w:r>
        <w:t>Die Eingaben des Beschwerdeführers erfüllen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3</w:t>
      </w:r>
    </w:p>
    <w:p>
      <w:r>
        <w:t>Der Beschwerdeführer wird bei diesem Verfahrensausgang kostenpflichtig ( Art. 66 Abs. 1 BGG ). Dem Beschwerdegegner und der Verfahrensbeteiligten sind keine Parteientschädigungen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