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155/2023 vom 2. Mai 2023</w:t>
      </w:r>
    </w:p>
    <w:p>
      <w:r>
        <w:t>Bundesgericht, 2023-05-02, DE</w:t>
      </w:r>
    </w:p>
    <w:p>
      <w:r>
        <w:rPr>
          <w:b/>
        </w:rPr>
        <w:t xml:space="preserve">Quelle: </w:t>
      </w:r>
      <w:r>
        <w:t>https://mcp.opencaselaw.ch/entscheid/bger_4A_155_2023</w:t>
      </w:r>
    </w:p>
    <w:p>
      <w:r>
        <w:t>FR: TF 4A 155/2023 du 2 mai 2023</w:t>
      </w:r>
    </w:p>
    <w:p>
      <w:r>
        <w:t>IT: TF 4A 155/2023 del 2 maggio 2023</w:t>
      </w:r>
    </w:p>
    <w:p>
      <w:pPr>
        <w:pStyle w:val="Heading2"/>
      </w:pPr>
      <w:r>
        <w:t>Regeste</w:t>
      </w:r>
    </w:p>
    <w:p>
      <w:r>
        <w:t>Mieterausweisung; Kostenauflage, | Vertragsrecht</w:t>
      </w:r>
    </w:p>
    <w:p>
      <w:pPr>
        <w:pStyle w:val="Heading2"/>
      </w:pPr>
      <w:r>
        <w:t>Erwägungen</w:t>
      </w:r>
    </w:p>
    <w:p>
      <w:r>
        <w:rPr>
          <w:b/>
        </w:rPr>
        <w:t>E. 1</w:t>
      </w:r>
    </w:p>
    <w:p>
      <w:r>
        <w:t>Mit Mietvertrag vom November 2018 vermietete die Beschwerdegegnerin der J.________ AG Büroflächen von ca. 412 m2 im 1. Obergeschoss an der U.________strasse in V.________ samt fünf Parkplätzen. Im Juni 2021 schlossen die Beschwerdegegnerin und die J.________ AG einen weiteren Mietvertrag betreffend Büroflächen von ca. 206 m2 im 2. Obergeschoss an der U.________strasse in V.________. Mit Wirkung per 1. Juni 2022 wurden beide Mietverträge von der J.________ AG auf die weitere Verfahrensbeteiligte 2 übertragen. Nach einer Zahlungsverzugskündigung der Mietverträge wies das Handelsgericht des Kantons Zürich auf Gesuch der Beschwerdegegnerin mit Verfügung und Urteil vom 10. Februar 2023 (im folgenden: der angefochtene Entscheid) die Beschwerdeführerin und die weiteren Verfahrensbeteiligten 1, 2 und 4-7 an, die genannten Mietobjekte unverzüglich zu verlassen und der Beschwerdegegnerin in ordnungsgemäss geräumtem, gereinigtem und vertragsgemässem Zustand zu übergeben, unter Androhung der Zwangsvollstreckung. Auf das Ausweisungsbegehren gegen die weitere Verfahrensbeteiligte 3 trat das Handelsgericht nicht ein. Die Gerichtsgebühr von Fr. 2'800.-- auferlegte es der Beschwerdeführerin und den weiteren Verfahrensbeteiligten 1, 2 und 4-7 in solidarischer Haftbarkeit im Umfang von sieben Achteln und räumte der Beschwerdegegnerin, aus deren Vorschuss die Gerichtskosten gedeckt wurden, in entsprechendem Umfang das Rückgriffsrecht auf die Beschwerdeführerin und die weiteren Verfahrensbeteiligten 1, 2 und 4-7 ein. Sodann verpflichtete es dieselben, der Beschwerdegegnerin eine Parteientschädigung von Fr. 2'625.-- zu bezahlen. Die Beschwerdeführerin erhob gegen diesen Entscheid mit Eingabe vom 8. März 2023 (Postaufgabe am 13. März 2023) beim Bundesgericht Beschwerde, mit der sie sich gegen die Auflage der Gerichts- und Parteikosten zu ihren Lasten wendet. Auf die Einholung von Vernehmlassungen zur Beschwerde wurde vorliegend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(Sachverhaltsrüge im Sinne von Art. 97 Abs. 1 BGG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in ihrer Beschwerde sinngemäss geltend, die Vorinstanz habe ihr gegenüber zu Unrecht die Ausweisung aus dem Mietobjekt ausgesprochen, da keine Beweise dafür vorlägen, dass sie Nutzerin der streitbetroffenen Mieträumlichkeiten gewesen sei. Entsprechend sei sie zu Unrecht mit Verfahrenskosten belastet worden. Die Vorinstanz kam im angefochtenen Entscheid zum Schluss, die Beschwerdeführerin könne als Nutzerin aus den Mieträumlichkeiten ausgewiesen werden, und dies unabhängig von einer allfälligen Qualifikation von ihr als Untermieterin der weiteren Verfahrensbeteiligten 2. Sie stützte sich dabei darauf, dass sich aus dem Handelsregister ergebe, dass die Beschwerdeführerin ihren Sitz in der für das vorinstanzliche Verfahren relevanten Zeitdauer, mithin sowohl ab dem Zeitpunkt der ersten Mietzinsausstände als auch per Einleitung des Ausweisungsverfahrens und während der Zeitdauer des Schriftenwechsels, in den streitgegenständlichen Mietobjekten gehabt hatte. Sodann ändere das Argument der Beschwerdeführerin, sie sei nur an einem Briefkasten angeschrieben, nichts daran, dass sie ausgewiesen werden könne, weil die Vermieterin nicht berechtigt sei, eigenmächtig Vorkehrungen zu treffen. So sei es ihr beispielsweise untersagt, die Briefkästen gewaltsam zu entfernen. Die Beschwerdeführerin setzt sich in ihrer Beschwerdeeingabe offensichtlich nicht hinreichend mit den entsprechenden Erwägungen des angefochtenen Entscheids auseinander und zeigt nicht rechtsgenügend auf, inwiefern die Vorinstanz mit ihrem darauf gestützten Entscheid Bundesrecht verletzt hätte. Vielmehr unterbreitet sie dem Bundesgericht in frei gehaltenen Ausführungen bloss ihre eigene Sicht der Dinge, wobei sie von den verbindlichen Sachverhaltsfeststellungen im angefochtenen Entscheid nach Belieben abweicht, ohne dazu hinreichend begründete Sachverhaltsrügen im vorstehend (Erwägung 2.2) dargestellten Sinne zu erheben, was im bundesgerichtlichen Verfahren nicht zulässig ist. Auf die Beschwerde ist somit mangels hinreichender Begründung nicht einzutreten ( Art. 108 Abs. 1 lit. b BGG ).</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