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4A_154/2012 vom 26. März 2012</w:t>
      </w:r>
    </w:p>
    <w:p>
      <w:r>
        <w:t>Bundesgericht, 2012-03-26, IT</w:t>
      </w:r>
    </w:p>
    <w:p>
      <w:r>
        <w:rPr>
          <w:b/>
        </w:rPr>
        <w:t xml:space="preserve">Quelle: </w:t>
      </w:r>
      <w:r>
        <w:t>https://mcp.opencaselaw.ch/entscheid/bger_4A_154_2012</w:t>
      </w:r>
    </w:p>
    <w:p>
      <w:r>
        <w:t>FR: TF 4A_154/2012 du 26 mars 2012</w:t>
      </w:r>
    </w:p>
    <w:p>
      <w:r>
        <w:t>IT: TF 4A_154/2012 del 26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decreto supercautelare del 7 marzo 2012 il Pretore del distretto di Lugano, adito da C.________, ha nominato D.________ quale amministratore pro tempore della B.________SA, ha ordinato al competente Ufficio del registro di commercio di iscrivere il nuovo amministratore e di procedere alla cancellazione dell'iscrizione in tale funzione dell'avv. A.________, e ha indetto per il 20 aprile 2012 un'udienza per il contraddittorio.</w:t>
      </w:r>
    </w:p>
    <w:p>
      <w:r>
        <w:rPr>
          <w:b/>
        </w:rPr>
        <w:t>E. 2</w:t>
      </w:r>
    </w:p>
    <w:p>
      <w:r>
        <w:t>Con ricorso in materia civile del 16 marzo 2012 l'avv. A.________ è insorta al Tribunale federale sia in proprio nome sia "nell'interesse" della B.________SA, chiedendo, previa l'emanazione di misure cautelari, l'annullamento del predetto decreto pretorile.</w:t>
      </w:r>
    </w:p>
    <w:p>
      <w:r>
        <w:rPr>
          <w:b/>
        </w:rPr>
        <w:t>E. 3</w:t>
      </w:r>
    </w:p>
    <w:p>
      <w:r>
        <w:t>Giusta l' art. 75 cpv. 1 LTF un ricorso in materia civile può unicamente essere proposto contro decisioni pronunciate dalle autorità cantonali di ultima istanza, dal Tribunale amministrativo federale e dal Tribunale federale dei brevetti.</w:t>
      </w:r>
    </w:p>
    <w:p>
      <w:r>
        <w:t>La decisione impugnata non è stata emanata da una delle predette autorità, ma dal Pretore del distretto di Lugano che palesemente non è un tribunale superiore di ultima istanza del Cantone Ticino. Inoltre, a prescindere da quanto appena indicato, si può aggiungere che per la loro natura le decisioni supercautelari non sono suscettive di un ricorso in materia civile: il contraddittorio costituisce infatti un rimedio giuridico che dev'essere stato esperito affinché il corso delle istanze cantonali possa essere ritenuto esaurito e il ricorso al Tribunale federale considerato ammissibile ( DTF 137 III 417 consid. 1.2). Non soccorre le ricorrenti infine nemmeno l'invocazione di "una procrastinazione e paralisi" della procedura: pure la lamentela concernente un'eventuale ritardata giustizia del giudice di prime cure deve percorrere le istanze cantonali e va quindi fatta valere mediante reclamo (art. 319 lett. c CPC) all'autorità giudiziaria superiore.</w:t>
      </w:r>
    </w:p>
    <w:p>
      <w:r>
        <w:rPr>
          <w:b/>
        </w:rPr>
        <w:t>E. 4</w:t>
      </w:r>
    </w:p>
    <w:p>
      <w:r>
        <w:t>Da quanto precede discende che il ricorso si rivela manifestamente inammissibile e va deciso dalla Presidente della Corte adita nella procedura semplificata ( art. 108 cpv. 1 lett. a LTF ). Con l'evasione del gravame la domanda di misure d'urgenza è divenuta caduca. Le spese processuali seguono la soccombenza ( art. 66 cpv. 1 LTF ), mentre non si giustifica assegnare ripetibili all'opponente che, non essendo stato invitato a determinarsi sul ricorso, non è incorso in spese per la sede federale.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500.-- sono poste a carico delle ricorrenti.</w:t>
      </w:r>
    </w:p>
    <w:p>
      <w:r>
        <w:t>3.</w:t>
      </w:r>
    </w:p>
    <w:p>
      <w:r>
        <w:t>Comunicazione alle parti e al Pretore del Distretto di Lugano.</w:t>
      </w:r>
    </w:p>
    <w:p>
      <w:r>
        <w:t>Losanna, 26 marzo 2012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Klett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