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4A_153/2021 vom 12. April 2021</w:t>
      </w:r>
    </w:p>
    <w:p>
      <w:r>
        <w:t>Bundesgericht, 2021-04-12, DE</w:t>
      </w:r>
    </w:p>
    <w:p>
      <w:r>
        <w:rPr>
          <w:b/>
        </w:rPr>
        <w:t xml:space="preserve">Quelle: </w:t>
      </w:r>
      <w:r>
        <w:t>https://mcp.opencaselaw.ch/entscheid/bger_4A_153_2021</w:t>
      </w:r>
    </w:p>
    <w:p>
      <w:r>
        <w:t>FR: TF 4A_153/2021 du 12 avril 2021</w:t>
      </w:r>
    </w:p>
    <w:p>
      <w:r>
        <w:t>IT: TF 4A_153/2021 del 12 aprile 2021</w:t>
      </w:r>
    </w:p>
    <w:p>
      <w:pPr>
        <w:pStyle w:val="Heading2"/>
      </w:pPr>
      <w:r>
        <w:t>Erwägungen</w:t>
      </w:r>
    </w:p>
    <w:p>
      <w:r>
        <w:rPr>
          <w:b/>
        </w:rPr>
        <w:t>E. 1</w:t>
      </w:r>
    </w:p>
    <w:p>
      <w:r>
        <w:t>Mit Gesuch vom 27. Juli 2020 gelangte der Beschwerdeführer an die Schlichtungsbehörde Miete und Pacht des Kantons Luzern. Er focht die Kündigung des Mietverhältnisses durch die Beschwerdegegnerin an und beantragte eventualiter eine Erstreckung des Mietverhältnisses. Mit Entscheid vom 9. Oktober 2020 schrieb die Schlichtungsbehörde das Verfahren infolge Säumnis des Beschwerdeführers an der Schlichtungsverhandlung als gegenstandslos ab.</w:t>
      </w:r>
    </w:p>
    <w:p>
      <w:r>
        <w:t>Die dagegen erhobene Beschwerde wies das Kantonsgericht Luzern mit Entscheid vom 27. Januar 2021 ab, soweit es darauf eintrat.</w:t>
      </w:r>
    </w:p>
    <w:p>
      <w:r>
        <w:t>Gegen den Entscheid des Kantonsgerichts erhob der Beschwerdeführer mit Eingabe vom 8. März 2021 Beschwerde an das Bundesgericht. 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Eingabe des Beschwerdeführers erfüllt die genannten Begründungsanforderungen offensichtlich nicht. Er legt vor Bundesgericht bloss in frei gehaltenen Ausführungen seine Sicht der Dinge dar, ohne indessen auf die Erwägungen der Vorinstanz hinreichend konkret einzugehen, geschweige denn nachvollziehbar aufzuzeigen, inwiefern diese Recht verletzt haben soll.</w:t>
      </w:r>
    </w:p>
    <w:p>
      <w:r>
        <w:t>Auf die Beschwerde ist somit mangels hinreichender Begründung nicht einzutreten ( Art. 108 Abs. 1 lit. b BGG ).</w:t>
      </w:r>
    </w:p>
    <w:p>
      <w:r>
        <w:rPr>
          <w:b/>
        </w:rPr>
        <w:t>E. 4</w:t>
      </w:r>
    </w:p>
    <w:p>
      <w:r>
        <w:t>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