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4A_153/2018 vom 2. Mai 2018</w:t>
      </w:r>
    </w:p>
    <w:p>
      <w:r>
        <w:t>Bundesgericht, 2018-05-02, IT</w:t>
      </w:r>
    </w:p>
    <w:p>
      <w:r>
        <w:rPr>
          <w:b/>
        </w:rPr>
        <w:t xml:space="preserve">Quelle: </w:t>
      </w:r>
      <w:r>
        <w:t>https://mcp.opencaselaw.ch/entscheid/bger_4A_153_2018</w:t>
      </w:r>
    </w:p>
    <w:p>
      <w:r>
        <w:t>FR: TF 4A_153/2018 du 2 mai 2018</w:t>
      </w:r>
    </w:p>
    <w:p>
      <w:r>
        <w:t>IT: TF 4A_153/2018 del 2 maggio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A.________SA,</w:t>
      </w:r>
    </w:p>
    <w:p>
      <w:r>
        <w:rPr>
          <w:b/>
        </w:rPr>
        <w:t>E. 2</w:t>
      </w:r>
    </w:p>
    <w:p>
      <w:r>
        <w:t>Le spese giudiziarie di fr. 500.-- sono poste a carico delle ricorrenti.</w:t>
      </w:r>
    </w:p>
    <w:p>
      <w:r>
        <w:rPr>
          <w:b/>
        </w:rPr>
        <w:t>E. 3</w:t>
      </w:r>
    </w:p>
    <w:p>
      <w:r>
        <w:t>Comunicazione ai patrocinatori delle parti e all'arbitro unico della Camera di commercio internazionale (ICC).</w:t>
      </w:r>
    </w:p>
    <w:p>
      <w:r>
        <w:t>Losanna, 2 maggio 2018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