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4A_152/2021 vom 20. Dezember 2022</w:t>
      </w:r>
    </w:p>
    <w:p>
      <w:r>
        <w:t>Bundesgericht, 2022-12-20, FR</w:t>
      </w:r>
    </w:p>
    <w:p>
      <w:r>
        <w:rPr>
          <w:b/>
        </w:rPr>
        <w:t xml:space="preserve">Quelle: </w:t>
      </w:r>
      <w:r>
        <w:t>https://mcp.opencaselaw.ch/entscheid/bger_4A_152_2021</w:t>
      </w:r>
    </w:p>
    <w:p>
      <w:r>
        <w:t>FR: TF 4A_152/2021 du 20 décembre 2022</w:t>
      </w:r>
    </w:p>
    <w:p>
      <w:r>
        <w:t>IT: TF 4A_152/2021 del 20 dicembre 2022</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 Demeure réservée la recevabilité des griefs en eux-mêmes.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sans être lié ni par les moyens des parties ni par les motifs de l'autorité cantonale; il peut ainsi admettre un recours pour d'autres motifs que ceux invoqués par la partie recourante ou rejeter un recours en adoptant une autre argumentation juridique que celle retenue par l'autorité précédente ( ATF 139 V 127 consid. 1.2; 138 II 331 consid. 1.3; 135 III 397 consid. 1.4). Cependant,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L' art. 42 al. 2 LTF exige par ailleurs que le recourant discute les motifs de la décision entreprise et indique précisément en quoi il considère que l'autorité précédente a méconnu le droit ( ATF 142 I 99 consid. 1.7.1; 142 III 364 consid. 2.4; 140 III 86 consid. 2).</w:t>
      </w:r>
    </w:p>
    <w:p>
      <w:r>
        <w:t>Dans son appel contre le jugement du 14 août 2020, la recourante, invoquant un risque grave de conflit d'intérêts, mettait en doute la capacité de postuler du mandataire actuel des intimés au motif qu'un avocat de la même étude avait participé comme juge cantonal suppléant à l'arrêt incident du 31 octobre 2012. La cour cantonale a écarté ce moyen. Sur ce point, la recourante "s'en remet à l'avis du Tribunal fédéral", ce qui ne constitue manifestement pas la motivation exigée par l' art. 42 al. 2 LTF . Le recours est irrecevable dans cette mesure.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En premier lieu, il convient d'examiner la rectification de partie réclamée dans la réponse, au nom du principe de l'économie de la procédure.</w:t>
      </w:r>
    </w:p>
    <w:p>
      <w:r>
        <w:rPr>
          <w:b/>
        </w:rPr>
        <w:t>E. 3.1</w:t>
      </w:r>
    </w:p>
    <w:p>
      <w:r>
        <w:t>Les intimés demandent au Tribunal fédéral de corriger la désignation prétendument inexacte d'une partie - M.________ (intimé 12) à remplacer par Z.________ et Y.________ - au motif que la cour cantonale n'aurait pas pris acte de la substitution de partie en raison de l'aliénation de la part de PPE, annoncée dans une lettre du 12 juillet 2012 du mandataire d'alors des demandeurs adressée au juge instructeur. Les intimés ajoutent que la recourante ne s'est jamais opposée à la substitution de partie qui aurait été ainsi opérée. Comme il ressortirait clairement du courrier précité que les conditions de l' art. 83 al. 1 CPC sont réunies, il n'y aurait eu aucun doute sur l'identité des parties dans l'esprit du juge et des parties, de sorte que le litige se serait poursuivi avec la mauvaise désignation des parties en raison d'une simple inadvertance que la cour de céans est appelée à rectifier.</w:t>
      </w:r>
    </w:p>
    <w:p>
      <w:r>
        <w:rPr>
          <w:b/>
        </w:rPr>
        <w:t>E. 3.2</w:t>
      </w:r>
    </w:p>
    <w:p>
      <w:r>
        <w:t>Les intimés confondent rectification des qualités des parties et substitution de parties. Contrairement à la seconde, la première de ces figures procédurales n'implique aucun changement de légitimation au cours du procès, mais fait suite à une erreur affectant la dénomination d'une partie; c'est dans ce cas-ci que la jurisprudence admet que, même si la désignation erronée concerne une tierce personne existante, une rectification est possible si l'erreur est aisément décelable et rectifiable tant pour la partie adverse que pour le juge et qu'il n'existe aucun risque de confusion sur l'identité de la partie (cf. ATF 136 III 545 consid. 3.4.1; 131 I 57 consid. 2.2).</w:t>
      </w:r>
    </w:p>
    <w:p>
      <w:r>
        <w:t>En l'espèce, les intimés entendent bien obtenir une substitution de partie au sens de l' art. 83 al. 1 CPC , à laquelle la cour cantonale n'aurait pas procédé par inadvertance en omettant de prendre en compte le courrier du 12 juillet 2012 et son annexe. Les principes en matière de rectification des qualités de partie ne sont donc pas applicables.</w:t>
      </w:r>
    </w:p>
    <w:p>
      <w:r>
        <w:t>En cas d'aliénation de l'objet du litige en cours d'instance, l' art. 83 al. 1 CPC permet à celui qui a acquis la légitimation (le substituant) et au plaideur qui l'a perdue (le substitué) d'obtenir, par leur volonté conjointe, que le premier remplace le second dans le procès, le consentement de la partie adverse étant sans pertinence dans ce contexte (NICOLAS JEANDIN, in Commentaire romand, Code de procédure civile, 2e éd. 2019, n° 13 ad art. 83 CPC ; MICHAEL GRABER, in Basler Kommentar, Schweizerische Zivilprozessordnung, 3e éd. 2017, nos 3, 8 et 9 ad art. 83 CPC ). L'objet du litige s'entend au sens large; il peut s'agir d'un rapport de droit comme d'une chose. L'aliénation doit avoir pour conséquence un changement de légitimation pour l'un ou l'autre des plaideurs; elle recouvre tout changement de situation juridique effectué à titre particulier et portant sur la propriété d'une chose ou sur la titularité de l'un ou l'autre côté du rapport de droit litigieux, comme par exemple une cession de créance (JEANDIN, op. cit., nos 8 et 9 ad art. 83 CPC ; GRABER, op. cit., nos 5 et 6 ad art. 83 CPC ).</w:t>
      </w:r>
    </w:p>
    <w:p>
      <w:r>
        <w:t>Dans le cas présent, la lettre du 12 juillet 2012 et son annexe invoquées par les intimés justifient la substitution de M.________ par Z.________ et Y.________ par la vente de l'appartement. Or, ce n'est pas la propriété de l'unité d'étage qui est l'objet du litige en l'occurrence, mais bien la titularité des droits de garantie découlant du contrat de vente passé avec la recourante. La substitution de partie supposait donc une cession de créance.</w:t>
      </w:r>
    </w:p>
    <w:p>
      <w:r>
        <w:t>Cela étant et contrairement à ce que les intimés prétendent, la lettre du 12 juillet 2012 de leur précédent mandataire a été prise en compte par le Tribunal civil dans son jugement du 14 août 2020 (consid. 4). La juge y constate également que l'acte de vente passé en cours d'instance entre le couple G.________ et N.________ et le couple I.________ et O.________comporte une clause par laquelle les vendeurs s'engagent à céder aux acquéreurs toutes créances qu'ils possèdent ou posséderont en relation avec le litige relatif aux défauts, mais elle relève qu'"aucune autre cession de créance n'a été alléguée par les demandeurs", y compris donc une éventuelle cession de créance entre M.________ et les acquéreurs Z.________ et Y.________. En définitive, le tribunal paraît tout de même admettre "les" substitutions de partie dans les considérants, mais le dispositif ne contient rien à ce sujet, la recourante étant condamnée à payer la somme de 145'774 fr. "à B.________ et consorts" sans autre précision; en outre, parmi les nouveaux acquéreurs signalés dans la lettre du 12 juillet 2012, seuls figurent désormais sur le rubrum de la décision les noms de I.________ et O.________, comme si la substitution n'était opérée que pour ces parties-là. A l'époque, les prétendus substituants et substitués n'ont pas formulé auprès du Tribunal civil une demande d'interprétation ou de rectification au motif que le dispositif était peu clair ou incomplet. Les intimés, dont M.________, n'ont pas non plus évoqué la question dans leur appel joint, mais la soulèvent pour la première fois dans leur réponse au recours en matière civile.</w:t>
      </w:r>
    </w:p>
    <w:p>
      <w:r>
        <w:t>Or, à ce stade, la cour de céans ne saurait, sur la base de l'état de fait qui lui est soumis, procéder à la substitution de partie réclamée. En tout état de cause, il appartenait en effet aux prétendus substituants et substitué au sens de l' art. 83 al. 1 CPC d'alléguer et d'établir l'aliénation de l'objet du litige en cours d'instance, à savoir une cession de la créance issue des droits de garantie envers la recourante. Ce qu'ils n'ont pas fait selon les constatations du juge de première instance, se bornant à invoquer, dans la lettre du 12 juillet 2012 et son annexe, la vente de l'unité d'étage qui n'impliquait pas nécessairement la cession des droits de garantie.</w:t>
      </w:r>
    </w:p>
    <w:p>
      <w:r>
        <w:t>Dans ces conditions, il ne sera pas donné suite à la conclusion des intimés tendant à prendre acte de la substitution de partie qui aurait été opérée le 12 juillet 2012 entre M.________ d'une part et Y.________ et Z.________ d'autre part, puis à modifier le dispositif de l'arrêt attaqué en conséquence.</w:t>
      </w:r>
    </w:p>
    <w:p>
      <w:r>
        <w:rPr>
          <w:b/>
        </w:rPr>
        <w:t>E. 4</w:t>
      </w:r>
    </w:p>
    <w:p>
      <w:r>
        <w:t>A ce stade, la présente affaire met en jeu la garantie pour les défauts affectant les parties communes d'un immeuble constitué en PPE.</w:t>
      </w:r>
    </w:p>
    <w:p>
      <w:r>
        <w:rPr>
          <w:b/>
        </w:rPr>
        <w:t>E. 4.1</w:t>
      </w:r>
    </w:p>
    <w:p>
      <w:r>
        <w:t>Il n'est pas contesté que tous les actes par lesquels les intimés ont acquis de la recourante une part de copropriété doivent être qualifiés de contrats mixtes, combinant des éléments du contrat de vente et du contrat d'entreprise (arrêt 4A_399/2018 du 8 février 2019 consid. 2.2). A défaut de disposition particulière dans la convention des parties, la garantie des défauts est soumise aux règles du contrat d'entreprise ( art. 368 ss CO ), en tout cas pour les défauts affectant les parties communes, seuls en jeu ici (cf. ATF 118 II 142 consid. 1a; arrêt 4C.301/2002 du 22 janvier 2003 consid. 2.2; BLAISE CARRON, Acquisition d'une part de propriété par étages (PPE) et garantie pour les défauts, in PPE 2019, François Bohnet et Blaise Carron éd., n. 10 p. 8 [ci-après: Carron PPE 2019]; FRÉDÉRIC KRAUSKOPF, Erwerb von Stockwerkeigentum vor Erstellung des Gebäudes - Klippen bei der vertraglichen Gestaltung, in Luzerner Tag des Stockwerkeigentums 2011, Aebi-Müller, Pfaffinger et Wermelinger éd., p. 132).</w:t>
      </w:r>
    </w:p>
    <w:p>
      <w:r>
        <w:t>Les propriétaires d'étages sont individuellement titulaires des droits de garantie pour les défauts affectant les parties communes, puisque ces droits découlent du contrat passé par chaque acquéreur avec le vendeur ( ATF 111 II 458 consid. 3b; arrêt 4A_326/2009 du 12 octobre 2009 consid. 4).</w:t>
      </w:r>
    </w:p>
    <w:p>
      <w:r>
        <w:t>Parmi les droits de garantie, le droit à la réduction de prix, de nature divisible, ne pose</w:t>
      </w:r>
    </w:p>
    <w:p>
      <w:r>
        <w:t>a priori pas de difficultés juridiques lorsqu'il est exercé individuellement par un acheteur en rapport avec un défaut affectant une partie commune (Département fédéral de justice et police, Rapport explicatif du 19 août 2020 relatif à l'avant-projet - révision du code des obligations (Défauts de construction), p. 1 [ci-après: Rapport explicatif]; CARRON, PPE 2019, n. 60 p. 22). En effet, l'acquéreur fera valoir une réduction du prix convenu, proportionnellement à la moins-value de sa part d'étage causée par la partie commune défectueuse (BLAISE CARRON, Garantie pour les défauts affectant les parties communes d'une PPE, in RNRF 2020 p. 81/82 et p. 91 [ci-après: CARRON RNRF 2020]; ARNAUD NUSSBAUMER, La cession des droits de garantie, 2015, n. 1077/1078 p. 358 s.; VALENTIN PICCININ, La propriété par étages en procès, 2015, p. 151 et p. 158).</w:t>
      </w:r>
    </w:p>
    <w:p>
      <w:r>
        <w:t>En revanche, le droit à la réfection des parties communes nécessite d'intervenir sur des parties de construction appartenant en copropriété à tous les propriétaires d'étages. Or, le droit à la réfection est par nature indivisible ( ATF 145 III 8 consid. 3.3). Tout en le reconnaissant, le Tribunal fédéral a tout d'abord considéré qu'un propriétaire d'étage ne disposait individuellement d'une prétention contractuelle en réparation des parties communes que proportionnellement à sa quote-part; plus précisément, c'est le droit à la réfection</w:t>
      </w:r>
    </w:p>
    <w:p>
      <w:r>
        <w:t>sans frais qui était limité à la quote-part, le copropriétaire qui exerçait son droit devant s'acquitter envers l'entrepreneur du reste des frais de réparation ( ATF 114 II 238 consid. 5c/bb). Cette jurisprudence a été modifiée dans l' ATF 145 III 8 en ce sens que le droit à la réfection d'une partie commune appartient indivisiblement et pleinement à chaque propriétaire d'étage (consid. 3.5). Vu le caractère indivisible du droit à la réfection des parties communes, il faut admettre que les créances pécuniaires déduites de l'exercice du droit à la réfection sont également indivisibles (pour la créance en remboursement en cas d'exécution par un tiers: PICCININ, op. cit., n. 316 p. 157; ROLF H. WEBER, Gewährleistungsansprüche beim Stockwerkeigentum, in DC 1985 p. 69). Il s'ensuit que chaque propriétaire d'étage peut individuellement ouvrir action en exécution du droit à la réfection de toutes les parties communes affectées de défauts, le cas échéant en concluant au paiement des frais nécessaires à l'élimination des défauts. Une consorité volontaire entre les acheteurs de parts de PPE est possible (PICCININ, op. cit., n. 315 p. 157). Il est à noter que, lorsqu'une obligation indivisible est due à plusieurs créanciers, chaque créancier a qualité pour agir, mais ne peut obtenir satisfaction qu'en faveur de tous. Si plusieurs créanciers agissent ensemble, ils forment une consorité nécessaire improprement dite (FABIENNE HOHL, in Commentaire romand, Code des obligations I, 3e éd. 2021, n° 4 à 6 ad art. 70 CO ).</w:t>
      </w:r>
    </w:p>
    <w:p>
      <w:r>
        <w:t>La jurisprudence consacrée à l' ATF 145 III 8 ne résout pas toutes les questions en rapport avec les défauts des parties communes. Par exemple, selon les circonstances, une coordination pourrait se révéler nécessaire entre la mise en oeuvre de la prétention contractuelle d'un acquéreur à la réfection d'un défaut portant sur une partie commune et les règles relatives à la prise de décision de la communauté des propriétaires d'étages ( ATF 145 III 8 consid. 3.5; sur la tension pouvant exister entre la titularité individuelle de la créance en réparation et l'exigence d'une décision de la communauté des copropriétaires d'étages pour les travaux de construction sur l'immeuble, CARRON RNRF 2020, n. 58 ss p. 87 ss). D'autres conflits peuvent surgir et nécessiter une coordination, notamment entre les droits de garantie exercés individuellement par plusieurs copropriétaires en relation avec des défauts sur les parties communes, par exemple si l'un demande une réduction de prix pour un défaut donné alors qu'un autre entend obtenir la réparation du même défaut (CARRON, RNRF 2020, n. 88 ss p. 94 ss et les références; Rapport explicatif, p. 32; HUBERT STÖCKLI, Nachbesserungsrecht unabhängig von Wertquoten, in DC 6/2018 p. 370; KRAUSKOPF, op. cit., p. 136 ss).</w:t>
      </w:r>
    </w:p>
    <w:p>
      <w:r>
        <w:rPr>
          <w:b/>
        </w:rPr>
        <w:t>E. 4.2</w:t>
      </w:r>
    </w:p>
    <w:p>
      <w:r>
        <w:t>Selon les deux instances cantonales, les intimés ont agi en réduction de prix pour les défauts affectant les parties communes. Cette qualification est erronée.</w:t>
      </w:r>
    </w:p>
    <w:p>
      <w:r>
        <w:t>Les demandeurs, acquéreurs de parts de copropriété représentant 883 millièmes de l'immeuble, ont agi ensemble contre la venderesse en paiement d'un montant correspondant au coût d'élimination des défauts qui touchaient toutes les parties communes. En d'autres termes, ils ont, en tant que consorts volontaires, ouvert action en exécution du droit (indivisible) à la réfection de toutes les parties communes, en accord avec la communauté des propriétaires d'étages.</w:t>
      </w:r>
    </w:p>
    <w:p>
      <w:r>
        <w:t>Le présent cas ne pose donc pas de problèmes liés à la coordination entre droits réels et droit des obligations ou à un conflit sur les droits de garantie exercés ou encore aux parties communes sur lesquelles la garantie pour les défauts est invoquée.</w:t>
      </w:r>
    </w:p>
    <w:p>
      <w:r>
        <w:t>La difficulté réside dans les réglementations différentes de la responsabilité de la venderesse dans les contrats passés par les acquéreurs d'origine des parts de propriété.</w:t>
      </w:r>
    </w:p>
    <w:p>
      <w:r>
        <w:rPr>
          <w:b/>
        </w:rPr>
        <w:t>E. 5</w:t>
      </w:r>
    </w:p>
    <w:p>
      <w:r>
        <w:t>Selon l'arrêt attaqué, tous les contrats de vente des parts de PPE - sauf ceux conclus avec B.________ (intimé 1), respectivement T.________ à laquelle M.________ (intimé 12) a succédé - contiennent une clause excluant la responsabilité du vendeur, en échange de la cession à l'acquéreur des droits de garantie envers les entrepreneurs.</w:t>
      </w:r>
    </w:p>
    <w:p>
      <w:r>
        <w:t>Ces clauses d'exclusion de la garantie ont permis à la venderesse d'opposer avec succès son défaut de qualité pour défendre aux acheteurs concernés (intimés 2 à 11 et 13 à 17).</w:t>
      </w:r>
    </w:p>
    <w:p>
      <w:r>
        <w:t>Pour leur part, les actes de vente B.________ et T.________ ne prévoient expressément que la cession des droits de garantie. La cour cantonale a jugé qu'en l'absence de clause d'exclusion du vendeur, les deux parties en cause (intimés 1 et 12) pouvaient rechercher la recourante.</w:t>
      </w:r>
    </w:p>
    <w:p>
      <w:r>
        <w:t>Dans un premier grief, la recourante s'en prend à l'interprétation, par la cour cantonale, de la volonté des parties à ces deux contrats, lesquels excluraient également la responsabilité de la venderesse.</w:t>
      </w:r>
    </w:p>
    <w:p>
      <w:r>
        <w:rPr>
          <w:b/>
        </w:rPr>
        <w:t>E. 5.1</w:t>
      </w:r>
    </w:p>
    <w:p>
      <w:r>
        <w:t>En préambule, il convient d'apporter la précision suivante. M.________ (intimé 12) a acquis l'unité d'étage de T.________ avant l'ouverture de l'action. Ce demandeur ne devait alléguer et prouver sa qualité pour agir - qui est un fait implicite - que si elle était contestée par la défenderesse ( ATF 144 III 519 consid. 5.3.2; FABIENNE HOHL, Procédure civile, Tome I, 2e éd. 2016, n. 1238-1240 p. 205). Comme tel n'a pas été le cas, l'intimé 12 n'avait pas, contrairement aux parties à des actes de vente postérieurs à l'introduction de l'action, à alléguer et démontrer la cession des droits de garantie découlant du contrat passé entre la recourante et T.________.</w:t>
      </w:r>
    </w:p>
    <w:p>
      <w:r>
        <w:rPr>
          <w:b/>
        </w:rPr>
        <w:t>E. 5.2</w:t>
      </w:r>
    </w:p>
    <w:p>
      <w:r>
        <w:t>Pour le reste, la motivation du grief est pour le moins confuse si bien que sa recevabilité est douteuse. Ainsi, selon la recourante, la cour cantonale aurait "violé le droit et sombré dans l'arbitraire" en omettant de rechercher, par une interprétation selon le principe de la confiance, la volonté objective des parties aux deux contrats en cause. Or, précisément, c'est en appliquant le principe de la confiance que la cour cantonale est parvenue à la conclusion qu'une exclusion de garantie ne pouvait être déduite des contrats litigieux. Cela étant, la recourante semble en réalité se plaindre de ce que la cour cantonale n'a pas constaté, en fait, la volonté réelle et commune des parties, qui aurait été d'inclure une clause d'exclusion dans les deux actes de vente. Pour les acquéreurs B.________ et T.________, cette volonté résulterait des allégations de la demande, selon lesquelles les huit contrats en cause, sans exception, contenaient une clause d'exclusion. Pour la venderesse, elle découlerait de l'inclusion explicite d'une telle clause dans les six autres contrats.</w:t>
      </w:r>
    </w:p>
    <w:p>
      <w:r>
        <w:rPr>
          <w:b/>
        </w:rPr>
        <w:t>E. 5.2.1</w:t>
      </w:r>
    </w:p>
    <w:p>
      <w:r>
        <w:t>En présence d'un litige sur l'interprétation d'une clause contractuelle,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t>S'il ne parvient pas à déterminer la volonté réelle et commune des parties - parce que les preuves font défaut ou ne sont pas concluantes - ou s'il constate qu'une partie n'a pas compris la volonté exprimée par l'autre, le juge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La détermination de la volonté objective des parties est une question de droit, que le Tribunal fédéral examine librement ( ATF 144 III 93 consid. 5.2.3 et les arrêts cités).</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toutefois pas lieu de s'écarter du sens littéral du texte adopté par les intéressés lorsqu'il n'existe aucune raison sérieuse de penser qu'il ne correspond pas à leur volonté ( ATF 136 III 186 consid. 3.2.1).</w:t>
      </w:r>
    </w:p>
    <w:p>
      <w:r>
        <w:rPr>
          <w:b/>
        </w:rPr>
        <w:t>E. 5.2.2</w:t>
      </w:r>
    </w:p>
    <w:p>
      <w:r>
        <w:t>La cour cantonale n'a pas méconnu le principe de la priorité de l'interprétation subjective sur l'interprétation objective. Elle a retenu en fait que les deux actes litigieux ne contenaient pas de clause d'exclusion de garantie. La recourante ne prétend pas que cette constatation serait entachée d'arbitraire. A cet égard, l'allégation contraire et erronée contenue dans le mémoire de demande ne saurait constituer un indice d'une volonté réelle des acquéreurs B.________ et T.________ d'exclure la garantie de la venderesse. De même, l'incorporation d'une clause d'exclusion de garantie dans les six autres contrats n'est pas un élément propre à démontrer que la venderesse aurait exprimé, envers les deux acquéreurs précités, la volonté de supprimer sa garantie.</w:t>
      </w:r>
    </w:p>
    <w:p>
      <w:r>
        <w:t>Dans ces conditions, la cour cantonale a procédé à juste titre à la détermination de la volonté objective des parties, selon le principe de la confiance.</w:t>
      </w:r>
    </w:p>
    <w:p>
      <w:r>
        <w:rPr>
          <w:b/>
        </w:rPr>
        <w:t>E. 5.2.3</w:t>
      </w:r>
    </w:p>
    <w:p>
      <w:r>
        <w:t>Les deux contrats litigieux contiennent une clause libellée comme suit: "La venderesse (cède) à l'acquéreur, qui accepte, toutes les garanties contractuelles et légales qu'elle possède contre toutes les personnes ayant exécuté la construction, dans la mesure où celle-ci les doivent, soit architectes, ingénieurs, entrepreneurs, fournisseurs, etc. tant pour les défauts apparents que pour les défauts cachés. La venderesse confère à l'acquéreur, dès le jour de l'entrée en jouissance, tous pouvoirs de représentation nécessaires à l'exercice des droits indissolublement liés à la qualité du maître de l'ouvrage, ainsi que le mandat de procéder à l'examen des unités ici vendues et des parties communes et de donner l'avis des défauts."</w:t>
      </w:r>
    </w:p>
    <w:p>
      <w:r>
        <w:t>En l'absence d'une clause contractuelle limitant la propre obligation de garantie de la venderesse, le texte clair de la cession se comprend, selon le principe de la confiance, uniquement comme l'attribution aux acquéreurs de la possibilité d'exercer directement contre les entrepreneurs les prétentions en garantie du maître de l'ouvrage, lesquelles s'ajoutent donc à leurs droits de garantie envers la venderesse (dans le même sens: ATF 118 II 142 consid. 1b).</w:t>
      </w:r>
    </w:p>
    <w:p>
      <w:r>
        <w:t>Pour autant qu'il soit recevable, le grief tiré d'une violation du principe de la confiance ne peut être que rejeté.</w:t>
      </w:r>
    </w:p>
    <w:p>
      <w:r>
        <w:rPr>
          <w:b/>
        </w:rPr>
        <w:t>E. 5.3</w:t>
      </w:r>
    </w:p>
    <w:p>
      <w:r>
        <w:t>La question se pose ensuite de savoir quelles sont les prétentions en garantie cédées par la venderesse.</w:t>
      </w:r>
    </w:p>
    <w:p>
      <w:r>
        <w:t>En matière de cession des droits de garantie, il est largement admis qu'en tout cas, le droit à la réfection du défaut est cessible, qu'il s'agisse de la prétention en suppression du défaut lui-même ou de la créance pécuniaire qui peut en découler ( ATF 114 II 239 consid. 5c/bb; arrêt 4A_242/2016 du 5 octobre 2016 consid. 5 non publié in ATF 142 III 623 ; la cessibilité des droits à la résolution du contrat et à la réduction de prix - en principe niée par la jurisprudence [ ATF 114 II 239 consid. 5c/aa; cf. également ATF 145 III 8 consid. 3.2.2] - fait l'objet de discussions doctrinales [pour un résumé: NUSSBAUMER, op. cit., n. 117 ss p. 38 ss]). Déjà dans l' ATF 118 II 142 cité plus haut (consid. 5.2), le Tribunal fédéral était parti de l'idée que la cession à l'acheteur par le vendeur des droits de garantie envers les entrepreneurs se limitait aux droits à la réfection et à la réparation d'un éventuel dommage consécutif aux défauts (consid. 1b).</w:t>
      </w:r>
    </w:p>
    <w:p>
      <w:r>
        <w:rPr>
          <w:b/>
        </w:rPr>
        <w:t>E. 6</w:t>
      </w:r>
    </w:p>
    <w:p>
      <w:r>
        <w:t>Il résulte de ce qui précède que les intimés 1 et 12 disposaient chacun de deux actions en réfection pour les défauts relatifs aux parties communes de l'immeuble en PPE: l'une contre la venderesse, en l'absence d'une clause d'exclusion dans l'acte de vente, et l'autre contre les entreprises ayant oeuvré à la construction, sur la base de la clause de cession figurant dans le même contrat.</w:t>
      </w:r>
    </w:p>
    <w:p>
      <w:r>
        <w:t>Dans un deuxième grief, la recourante reproche aux juges cantonaux de n'avoir pas examiné l'ordre dans lequel ces deux actions devaient être exercées. S'ils l'avaient fait, ils auraient dû conclure que les intimés 1 et 12(cessionnaires) ne disposaient d'aucune prétention envers la recourante (cédante), faute d'avoir tenté d'obtenir au préalable que les entrepreneurs concernés (débiteurs cédés) procèdent à la réfection des parties communes affectées de défauts.</w:t>
      </w:r>
    </w:p>
    <w:p>
      <w:r>
        <w:rPr>
          <w:b/>
        </w:rPr>
        <w:t>E. 6.1</w:t>
      </w:r>
    </w:p>
    <w:p>
      <w:r>
        <w:t>La cession du droit de réfection intervient en vue d'exécution (</w:t>
      </w:r>
    </w:p>
    <w:p>
      <w:r>
        <w:t>zahlungshalber ; art. 172 CO ). En pareil cas, le cessionnaire (l'acheteur) est tenu, par application analogique de l' art. 467 al. 2 CO , de faire valoir en priorité le droit cédé, la prestation due par le cédant restant en suspens entretemps; il ne doit toutefois respecter cette obligation que s'il dispose des informations suffisantes pour agir contre les entrepreneurs concernés ( ATF 118 II 142 consid. 1b et 1c). Au surplus, il doit uniquement faire les efforts qui peuvent être raisonnablement exigés de sa part; en particulier, il n'a pas à recourir à la voie judiciaire (PETER GAUCH, Der Werkvertrag, 6e éd. 2019, n. 2458 p. 1042; FRANZ WERRO/BÉATRICE HURNI, La PPE sur plan, in Journées suisses du droit de la construction, Fribourg 2011, p. 74; JÖRG SCHMID, Gewährleistung, in Der Grundstückkauf - La vente immobilière, Beiträge der Weiterbildungsseminare der Stiftung Schweizerisches Notariat vom 20. Januar 2009, p. 98/99).</w:t>
      </w:r>
    </w:p>
    <w:p>
      <w:r>
        <w:t>Il est à observer au passage que, comme seul le droit à la réfection peut être cédé, rien n'empêche l'acquéreur d'exercer envers le vendeur, si les conditions en sont remplies, le droit à la réduction du prix ou à la résolution du contrat, sans avoir à faire valoir préalablement le droit de réfection cédé (arrêt 4C.294/2001 du 3 janvier 2002 consid. 2c; GAUCH, op. cit., n. 2458 p. 1042; WERRO/HURNI, op. cit., p. 74; JÖRG SCHMID, op. cit., p. 99).</w:t>
      </w:r>
    </w:p>
    <w:p>
      <w:r>
        <w:rPr>
          <w:b/>
        </w:rPr>
        <w:t>E. 6.2</w:t>
      </w:r>
    </w:p>
    <w:p>
      <w:r>
        <w:t>En l'espèce, il s'agit donc d'examiner si, avant d'agir contre la venderesse (cédante), l'un ou l'autre des intimés 1 et 12 (cessionnaires), voire l'un des autres acquéreurs d'origine, ont cherché à obtenir des entrepreneurs (débiteurs cédés) la réparation des parties communes affectées de défauts et, si tel n'est pas le cas, s'ils étaient en mesure de le faire.</w:t>
      </w:r>
    </w:p>
    <w:p>
      <w:r>
        <w:t>Selon la demande du 26 novembre 2007, le droit d'agir des copropriétaires contre la venderesse résulte précisément du fait que celle-ci avait "négligé de fournir aux acquéreurs d'origine les renseignements nécessaires pour leur permettre d'exiger des entrepreneurs responsables l'élimination des défauts constatés". Ce faisant, les demandeurs, y compris les intimés 1 et 12, admettent qu'ils n'ont pas exercé leur droit de réfection envers les entreprises qui avaient oeuvré sur les parties communes de l'immeuble affectées de défauts, à savoir essentiellement les façades, les balcons, le chauffage.</w:t>
      </w:r>
    </w:p>
    <w:p>
      <w:r>
        <w:t>Pour sa part, la cour cantonale a constaté que les renseignements promis pour l'exercice des droits de garantie avaient été remis assez tôt aux acheteurs et qu'il n'était ainsi pas démontré que la recourante avait entravé les demandeurs dans l'exercice de leurs droits de garantie. Il ressort dès lors de l'arrêt attaqué que les acquéreurs disposaient des informations suffisantes pour exercer le droit de réfection envers les entrepreneurs. Au surplus, aucun autre élément de la décision entreprise ne permet de retenir que la recourante ne pouvait pas raisonnablement exiger des acquéreurs qu'ils s'adressent d'abord aux entreprises concernées pour la réfection des parties communes entachées de défauts.</w:t>
      </w:r>
    </w:p>
    <w:p>
      <w:r>
        <w:t>Dans ces conditions, la venderesse était en droit de refuser d'exécuter l'obligation de réfection qui restait à sa charge. Contrairement à ce que la cour cantonale a admis, les intimés 1 et 12 ne disposent pas envers la recourante d'une prétention correspondant aux frais de réfection des parties communes entachées de défauts.</w:t>
      </w:r>
    </w:p>
    <w:p>
      <w:r>
        <w:t>Le recours doit être admis, dans la mesure où il est recevable, sans qu'il soit nécessaire d'examiner les autres griefs soulevés par la recourante. Il y a lieu d'annuler l'arrêt attaqué et de rejeter l'action des intimés.</w:t>
      </w:r>
    </w:p>
    <w:p>
      <w:r>
        <w:rPr>
          <w:b/>
        </w:rPr>
        <w:t>E. 7</w:t>
      </w:r>
    </w:p>
    <w:p>
      <w:r>
        <w:t>Les frais judiciaires sont mis solidairement à la charge des intimés, qui succombent ( art. 66 al. 1 et 5 LTF ). Ces derniers, débiteurs solidaires, verseront en outre des dépens à la recourante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