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4A_151/2025 vom 20. Juni 2025</w:t>
      </w:r>
    </w:p>
    <w:p>
      <w:r>
        <w:t>Bundesgericht, 2025-06-20, DE</w:t>
      </w:r>
    </w:p>
    <w:p>
      <w:r>
        <w:rPr>
          <w:b/>
        </w:rPr>
        <w:t xml:space="preserve">Quelle: </w:t>
      </w:r>
      <w:r>
        <w:t>https://mcp.opencaselaw.ch/entscheid/bger_4A_151_2025</w:t>
      </w:r>
    </w:p>
    <w:p>
      <w:r>
        <w:t>FR: TF 4A_151/2025 du 20 juin 2025</w:t>
      </w:r>
    </w:p>
    <w:p>
      <w:r>
        <w:t>IT: TF 4A_151/2025 del 20 giugno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2</w:t>
      </w:r>
    </w:p>
    <w:p>
      <w:r>
        <w:t>Angefochten ist der Endentscheid ( Art. 90 BGG ) einer letzten kantonalen Instanz, die über eine arbeitsrechtliche Streitigkeit und damit eine der Beschwerde in Zivilsachen unterliegende vermögensrechtliche Angelegenheit entschieden hat ( Art. 72 Abs. 1 BGG ). Der Streitwert übersteigt die in arbeitsrechtlichen Fällen geltende Grenze von Fr. 15'000.-- ( Art. 74 Abs. 1 lit. a BGG ). Der Beschwerdeführer ist im vorinstanzlichen Verfahren mit seinen Anträgen unterlegen ( Art. 76 Abs. 1 BGG ). Er hat zudem die Beschwerdefrist von Art. 100 Abs. 1 BGG eingehalten. Unter Vorbehalt einer hinreichenden Begründung ist demnach auf die Beschwerde einzutreten ( Art. 42 Abs. 2 und Art. 106 Abs. 2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w:t>
      </w:r>
    </w:p>
    <w:p>
      <w:r>
        <w:t>Der Beschwerdeführer beanstandet, dass die Vorinstanz die fristlose Kündigung vom 22. März 2021 als nicht gerechtfertigt beurteilte.</w:t>
      </w:r>
    </w:p>
    <w:p>
      <w:r>
        <w:rPr>
          <w:b/>
        </w:rPr>
        <w:t>E. 3.1.1</w:t>
      </w:r>
    </w:p>
    <w:p>
      <w:r>
        <w:t>Gemäss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3.1.2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213 E. 3.1; 129 III 380 E. 2.1 mit Hinweisen). Ob die dem Arbeitnehmer vorgeworfene Pflichtverletzung die erforderliche Schwere erreicht, lässt sich nicht allgemein sagen, sondern hängt von den konkreten Umständen des Einzelfalls ab ( BGE 142 III 579 E. 4.2; 127 III 153 E. 1a; 116 II 145 E. 6a).</w:t>
      </w:r>
    </w:p>
    <w:p>
      <w:r>
        <w:rPr>
          <w:b/>
        </w:rPr>
        <w:t>E. 3.1.3</w:t>
      </w:r>
    </w:p>
    <w:p>
      <w:r>
        <w:t>Derartige Ermessensentscheide der Vorinstanz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137 III 303 E. 2.1.1; 130 III 28 E. 4.1, 213 E. 3.1; 129 III 380 E. 2; je mit Hinweisen).</w:t>
      </w:r>
    </w:p>
    <w:p>
      <w:r>
        <w:rPr>
          <w:b/>
        </w:rPr>
        <w:t>E. 3.2</w:t>
      </w:r>
    </w:p>
    <w:p>
      <w:r>
        <w:t>Der Beschwerdeführer wirft dem Beschwerdegegner vor, am 20. September 2021 mit seinem Fuss den Lift in der Liegenschaft Y.________ blockiert und gleichzeitig "eine klare Drohgebärde" gemacht zu haben. Am 22. März 2022 habe der Beschwerdegegner zudem seine Ehefrau unvermittelt angeschrien und ihr gegenüber ebenfalls Drohgebärden gemacht. Als Folge davon hätten sie sich um ihr Leib und Leben gefürchtet. Unabhängig davon habe der Beschwerdegegner im Technikraum die Notizen für die Bedienung der Haustechnikanlage entfernt, was als Sachbeschädigung zu werten sei. Die Vorinstanzen hätten zudem bei der Beurteilung der fristlosen Kündigung nicht berücksichtigt, dass er den Beschwerdegegner in früheren Jahren bereits dreimal verwarnt habe.</w:t>
      </w:r>
    </w:p>
    <w:p>
      <w:r>
        <w:t>Die Erstinstanz erwog, der Beschwerdeführer hätte als kündigender Arbeitgeber die behaupteten Nötigungen und Drohungen beweisen müssen. Dieser Beweis sei ihm misslungen. Es bestehe zudem bloss eine Vermutung, dass der Beschwerdegegner die Notizen aus dem Technikraum entfernt habe. Damit sei die Entlassung ohne wichtigen Grund erfolgt, weshalb der Beschwerdegegner Anspruch auf die Zahlungen gemäss Art. 337c OR habe. Die Vorinstanz schützte diese Beurteilung.</w:t>
      </w:r>
    </w:p>
    <w:p>
      <w:r>
        <w:rPr>
          <w:b/>
        </w:rPr>
        <w:t>E. 3.3</w:t>
      </w:r>
    </w:p>
    <w:p>
      <w:r>
        <w:t>Der Beschwerdeführer leitet sein Recht auf fristlose Kündigung aus den behaupteten Drohungen bzw. Nötigungen sowie dem Entfernen der Notizen aus dem Technikraum ab. Folglich muss er den Beweis dafür erbringen, dass sich die entsprechenden Vorfälle tatsächlich ereignet haben. Dieser Nachweis ist dem Beschwerdeführer gemäss dem angefochtenen Urteil nicht gelungen. Selbst für das Entfernen der Notizen aus dem Technikraum spricht nach den vorinstanzlichen Erwägungen "lediglich eine Vermutung". Nach dem Regelbeweismass der vollen Überzeugung (vgl. BGE 148 III 134 E. 3.4.1) genügt eine solche blosse Wahrscheinlichkeit nicht. Die Beschwerde könnte unter diesen Umständen nur dann Aussicht auf Erfolg haben, wenn sie das negative Beweisergebnis der Vorinstanz umzustossen vermöchte.</w:t>
      </w:r>
    </w:p>
    <w:p>
      <w:r>
        <w:rPr>
          <w:b/>
        </w:rPr>
        <w:t>E. 3.4</w:t>
      </w:r>
    </w:p>
    <w:p>
      <w:r>
        <w:t>Die Ausführungen des Beschwerdeführers beschränken sich darauf, das Verhalten des Beschwerdegegners so darzustellen, wie es sich aus seiner eigenen Sicht zugetragen hat. Dazu würdigt der Beschwerdeführer die verschiedenen Partei- und Zeugenaussagen anders als die Vorinstanz. Er wirft der Vorinstanz unter anderem vor, aussagepsychologische Grundsätze missachtet zu haben. Auch zieht er aus den Rechtsschriften und den Beilagen andere tatsächliche Schlüsse als die Vorinstanz. Das Bundesgericht darf die Sachverhaltsfeststellungen einer Vorinstanz nur dann berichtigen und ergänzen, wenn sie offensichtlich unrichtig sind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Der Beschwerdeführer hält den vorinstanzlichen Erwägungen bloss seine eigenen Behauptungen entgegen, zeigt aber nicht auf, weshalb die anderslautenden Würdigungen der Vorinstanz geradezu unhaltbar sein sollen. Entsprechend kann er aus seinen abweichenden Ausführungen zum angeblichen Fehlverhalten des Beschwerdegegners nichts zu seinen Gunsten ableiten.</w:t>
      </w:r>
    </w:p>
    <w:p>
      <w:r>
        <w:rPr>
          <w:b/>
        </w:rPr>
        <w:t>E. 3.5</w:t>
      </w:r>
    </w:p>
    <w:p>
      <w:r>
        <w:t>Mangels hinreichend begründeten Sachverhalts- und Willkürrügen bleibt der vorinstanzlich festgestellte Sachverhalt massgebend: Danach hat der Beschwerdeführer nicht bewiesen, dass der Beschwerdegegner ihn und/oder seine Ehefrau genötigt bzw. bedroht hat. Ebenso wenig vermochte er mit der erforderlichen Sicherheit ein Entfernen der Notizen aus dem Technikraum darzutun.</w:t>
      </w:r>
    </w:p>
    <w:p>
      <w:r>
        <w:t>Schliesslich kann der Beschwerdeführer auch aus dem verzögerten Öffnen der Wasserhähne für die Reinigung des Aussendecks nichts zu seinen Gunsten ableiten: Der Beschwerdegegner war damals zu 100% krankgeschrieben. Gemäss Art. 337 Abs. 3 OR begründet die unverschuldete Verhinderung des Arbeitnehmers an der Arbeitsleistung keinen wichtigen Grund.</w:t>
      </w:r>
    </w:p>
    <w:p>
      <w:r>
        <w:t>Da die Voraussetzungen für eine fristlose Kündigung nicht erfüllt waren, hat die Vorinstanz die Berufung zu Recht abgewiesen.</w:t>
      </w:r>
    </w:p>
    <w:p>
      <w:r>
        <w:rPr>
          <w:b/>
        </w:rPr>
        <w:t>E. 4</w:t>
      </w:r>
    </w:p>
    <w:p>
      <w:r>
        <w:t>Die Beschwerde ist demnach abzuweisen, soweit darauf einzutreten ist.</w:t>
      </w:r>
    </w:p>
    <w:p>
      <w:r>
        <w:t>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