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4A_151/2021 vom 9. September 2021</w:t>
      </w:r>
    </w:p>
    <w:p>
      <w:r>
        <w:t>Bundesgericht, 2021-09-09, FR</w:t>
      </w:r>
    </w:p>
    <w:p>
      <w:r>
        <w:rPr>
          <w:b/>
        </w:rPr>
        <w:t xml:space="preserve">Quelle: </w:t>
      </w:r>
      <w:r>
        <w:t>https://mcp.opencaselaw.ch/entscheid/bger_4A_151_2021</w:t>
      </w:r>
    </w:p>
    <w:p>
      <w:r>
        <w:t>FR: TF 4A_151/2021 du 9 septembre 2021</w:t>
      </w:r>
    </w:p>
    <w:p>
      <w:r>
        <w:t>IT: TF 4A_151/2021 del 9 settembre 2021</w:t>
      </w:r>
    </w:p>
    <w:p>
      <w:pPr>
        <w:pStyle w:val="Heading2"/>
      </w:pPr>
      <w:r>
        <w:t>Erwägungen</w:t>
      </w:r>
    </w:p>
    <w:p>
      <w:r>
        <w:rPr>
          <w:b/>
        </w:rPr>
        <w:t>E. 1</w:t>
      </w:r>
    </w:p>
    <w:p>
      <w:r>
        <w:t>Le recours vise une décision finale ( art. 90 LTF ) rendue en matière civile ( art. 72 al. 1 LTF ) par une cour cantonale statuant en instance cantonale unique au sens de l' art. 7 CPC et de l' art. 75 al. 2 let. a LTF , de sorte que la voie du recours en matière civile est ouverte sans égard à la valeur litigieuse ( art. 74 al. 2 let. b LTF ). Déposé dans le délai (art. 45 al. 1 et 100 al. 1 LTF) et la forme ( art. 42 LTF ) prévus par la loi, il est recevable au regard de ces dispositions.</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et les références citées).</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w:t>
      </w:r>
    </w:p>
    <w:p>
      <w:r>
        <w:rPr>
          <w:b/>
        </w:rPr>
        <w:t>E. 3</w:t>
      </w:r>
    </w:p>
    <w:p>
      <w:r>
        <w:t>En l'espèce, la cour cantonale a considéré que A.________ SA n'avait pas la légitimation active pour faire valoir des prétentions en paiement d'indemnités journalières. Au surplus, A.________ SA n'avait subi aucun dommage économique en lien avec l'incapacité de travail de son ex-employé attestée du 5 janvier au 23 février 2018, comme elle l'avait admis dans son mémoire-demande, puisqu'elle avait libéré son ex-employé de son obligation de travailler durant le délai de congé du 1er janvier au 28 février 2018. Pour la période postérieure, aucune incapacité de travail n'avait été annoncée à B.________ SA. Le fait que A.________ SA avait encore dû payer un salaire jusqu'au 30 avril 2018 découlait des périodes de protection du travailleur prévues par le code des obligations. Il s'agissait ici de motifs indépendants de l'assurance perte de gain maladie, laquelle ne couvrait pas ce risque.</w:t>
      </w:r>
    </w:p>
    <w:p>
      <w:r>
        <w:rPr>
          <w:b/>
        </w:rPr>
        <w:t>E. 4.1</w:t>
      </w:r>
    </w:p>
    <w:p>
      <w:r>
        <w:t>Dans un premier grief, l'argumentation de la recourante mêle les faits et le droit. Invoquant les art. 97 al. 1 LTF et 9 Cst., elle se plaint d'une constatation manifestement inexacte des faits et d'arbitraire dans l'établissement des faits. Elle reproche aux juges précédents d'avoir retenu qu'elle n'avait pas subi de dommage économique en lien avec l'incapacité de travail de son ancien employé du 5 janvier au 23 février 2018. Elle affirme n'avoir jamais reconnu cela, puisqu'elle avait allégué que cette incapacité de travail avait eu des conséquences économiques pour elle: cela avait provoqué la prolongation du contrat de travail de deux mois, soit jusqu'à la fin du mois d'avril 2018. La recourante soutient que ces deux mois de salaire supplémentaires qu'elle avait dû verser étaient des conséquences économiques de l'incapacité de travail. Celles-ci devaient être assumées par l'intimée conformément à ses conditions générales d'assurance.</w:t>
      </w:r>
    </w:p>
    <w:p>
      <w:r>
        <w:rPr>
          <w:b/>
        </w:rPr>
        <w:t>E. 4.2</w:t>
      </w:r>
    </w:p>
    <w:p>
      <w:r>
        <w:t>La recourante ne conteste pas la constatation des juges précédents, selon laquelle elle n'a pas subi de dommage pour la période du 1er janvier au 28 février 2018. En revanche, elle fait valoir que l'incapacité de travail de son ancien employé lui a causé un dommage pour les mois de mars et avril 2018.</w:t>
      </w:r>
    </w:p>
    <w:p>
      <w:r>
        <w:t>Or, pour les mois de mars et avril 2018, la cour cantonale a retenu qu'aucune incapacité de travail n'avait été annoncée. La recourante ne parvient pas à démontrer que cette constatation serait arbitraire, puisqu'elle ne soutient même pas avoir effectivement annoncé une incapacité de travail de son ancien employé pour cette période.</w:t>
      </w:r>
    </w:p>
    <w:p>
      <w:r>
        <w:t>Ensuite, la cour cantonale n'a pas traité de la question du dommage, mais a considéré que l'assurance perte de gain maladie ne couvrait pas le risque de prolongation du contrat de travail. La recourante fonde la prétendue obligation de prester de l'intimée sur les conditions générales d'assurance de cette dernière. Toutefois, la teneur de la disposition des conditions générales dont la recourante se prévaut - sans qu'elle ne précise de laquelle il s'agit, ni ne la reproduise explicitement - n'a pas été constatée par la cour cantonale. La recourante base ainsi son argumentation sur un élément non constaté, sans pour autant invoquer, ni a fortiori démontrer que l'instance précédente aurait établi les faits de manière arbitraire en ne reprenant pas la teneur de cette disposition. Au demeurant, la recourante n'expose pas de façon précise, notamment par des renvois à ses écritures, avoir présenté ce point à la cour cantonale. La mention de la " pièce 13 " n'est pas suffisante à cet égard. Les quelques éléments soulevés par la recourante dans sa réplique sont tardifs et n'ont pas à être pris en considération. Dès lors, sa critique est irrecevable.</w:t>
      </w:r>
    </w:p>
    <w:p>
      <w:r>
        <w:rPr>
          <w:b/>
        </w:rPr>
        <w:t>E. 5</w:t>
      </w:r>
    </w:p>
    <w:p>
      <w:r>
        <w:t>Dans ces conditions, il est superflu d'examiner le second grief invoqué par la recourante, à savoir que la cour cantonale aurait violé les art. 17 al. 2 LCA et 9 Cst. en niant sa légitimation active.</w:t>
      </w:r>
    </w:p>
    <w:p>
      <w:r>
        <w:rPr>
          <w:b/>
        </w:rPr>
        <w:t>E. 6</w:t>
      </w:r>
    </w:p>
    <w:p>
      <w:r>
        <w:t>Au vu de ce qui précède, le recours doit être rejeté, dans la faible mesure de sa recevabilité.</w:t>
      </w:r>
    </w:p>
    <w:p>
      <w:r>
        <w:t>La recourante, qui succombe, prendra en charge les frais judiciaires ( art. 66 al. 1 LTF ). Elle versera en outre une indemnité de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