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151/2019 vom 9. Dezember 2019</w:t>
      </w:r>
    </w:p>
    <w:p>
      <w:r>
        <w:t>Bundesgericht, 2019-12-09, FR</w:t>
      </w:r>
    </w:p>
    <w:p>
      <w:r>
        <w:rPr>
          <w:b/>
        </w:rPr>
        <w:t xml:space="preserve">Quelle: </w:t>
      </w:r>
      <w:r>
        <w:t>https://mcp.opencaselaw.ch/entscheid/bger_4A_151_2019</w:t>
      </w:r>
    </w:p>
    <w:p>
      <w:r>
        <w:t>FR: TF 4A 151/2019 du 9 décembre 2019</w:t>
      </w:r>
    </w:p>
    <w:p>
      <w:r>
        <w:t>IT: TF 4A 151/2019 del 9 dicembre 2019</w:t>
      </w:r>
    </w:p>
    <w:p>
      <w:pPr>
        <w:pStyle w:val="Heading2"/>
      </w:pPr>
      <w:r>
        <w:t>Regeste</w:t>
      </w:r>
    </w:p>
    <w:p>
      <w:r>
        <w:t>contrat de bail, défauts, annulation du congé, | Droit des contrats</w:t>
      </w:r>
    </w:p>
    <w:p>
      <w:pPr>
        <w:pStyle w:val="Heading2"/>
      </w:pPr>
      <w:r>
        <w:t>Erwägungen</w:t>
      </w:r>
    </w:p>
    <w:p>
      <w:r>
        <w:rPr>
          <w:b/>
        </w:rPr>
        <w:t>E. 1.1</w:t>
      </w:r>
    </w:p>
    <w:p>
      <w:r>
        <w:t>Interjeté en temps utile ( art. 100 al. 1 LTF ) par la bailleresse qui a succombé dans ses conclusions ( art. 76 al. 1 LTF ), dirigé contre un arrêt final ( art. 90 LTF ) rendu par un tribunal supérieur statuant sur appel ( art. 75 LTF ), dans une affaire de contestation de la résiliation de bail ( art. 72 al. 1 LTF ) dont la valeur litigieuse est supérieure à 15'000 fr. ( art. 74 al. 1 let. a LTF ), le recours est recevable.</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1.3</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La cour cantonale a constaté que, pour le parking, le contrat de bail n'indiquait aucune surface précise en mètres carrés, mais mentionnait que la locataire disposait d'un emplacement, délimité sur le plan, avec la précision qu'une place était réservée à la bailleresse. Le plan annexé au bail et les surfaces qui y étaient délimitées étant peu précis, l'usage entrepris par la locataire depuis le début du bail était, à défaut d'une opposition de la bailleresse, déterminant. Il a en outre été établi que le nombre de places de parc à disposition de la locataire avait été réduit, suite au marquage, de treize à neuf places, sans aucune compensation, tandis que la bailleresse, qui disposait selon le contrat d'une seule place, en avait dorénavant six. La cour cantonale a relevé que, dans ces circonstances, la surface de parking à disposition de la locataire n'était plus la même et que, dans les faits, l'art. 19 du contrat avait été modifié en défaveur de la locataire. Elle a conclu à l'existence d'un défaut et d'une modification au détriment de la locataire qui rendait impératif l'emploi d'une formule officielle ( art. 269d al. 1 et 3 CO ). La modification étant nulle de plein droit, la situation prévalant avant le marquage des 7 et 8 novembre 2015 devait être rétablie. Une baisse de loyer n'était par contre pas justifiée puisque la locataire avait continué à garer ses véhicules comme par le passé et, partant, que l'usage qu'elle faisait de sa surface de parking n'était pas perdue (ni même diminuée). La bailleresse a expliqué avoir notifié son congé au motif que la locataire n'avait pas respecté les règles du bail relatives au parcage de véhicules et à l'entreposage de matériel. La cour cantonale a retenu qu'il ne s'agissait que d'un prétexte qui faisait suite aux tensions survenues entre les parties, en lien avec la question des places de parc, qui avait atteint son paroxysme suite au marquage au sol réalisé à l'insu de la locataire durant le week-end des 7 et 8 novembre 2015. La cour cantonale a ajouté que les autres locataires des locaux n'avaient jamais rencontré de problèmes avec la locataire, ce qui démontrait que le conflit était limité aux administrateurs des parties, ceux-ci en faisant une affaire de principe. Selon l'autorité précédente, les diverses oppositions de la locataire (notamment au projet de marquage au sol de la bailleresse, à l'installation de caméras de surveillance et au changement du cylindre du local citerne, sans la remise de nouvelles clés, entre novembre 2015 et avril 2016), qui ont amené la bailleresse à résilier le contrat, représentent le véritable motif du congé intervenu le 13 avril 2016. La cour cantonale a relevé que l'opposition de la locataire était justifiée, en particulier s'agissant de la surface du parking, élément déterminant à l'origine du litige.</w:t>
      </w:r>
    </w:p>
    <w:p>
      <w:r>
        <w:rPr>
          <w:b/>
        </w:rPr>
        <w:t>E. 3.1</w:t>
      </w:r>
    </w:p>
    <w:p>
      <w:r>
        <w:t>La recourante considère que la cour cantonale, en procédant à l'interprétation du contrat signé par les parties en application de l' art. 18 CO , a fait preuve d'arbitraire ( art. 9 Cst. ) en retenant des indices en contradiction avec les pièces du dossier et en omettant de prendre en compte des éléments pertinents, pourtant régulièrement versés à la procédure. Elle soutient n'avoir pas modifié l'objet du contrat au détriment du locataire et nie l'existence de tout défaut consécutif au sens de l' art. 259 CO . Par les éléments qu'elle avance pêle-mêle et de manière essentiellement appellatoire, elle ne démontre toutefois pas que la cour cantonale aurait erré en arrivant à cette conclusion. En particulier, elle ne saurait se contenter de soutenir que le contrat de bail et la surface figurant sur le plan annexé étaient parfaitement clairs et que les parties s'accordaient sur la surface ainsi délimitée, alors qu'il est établi que la documentation contractuelle ne contenait aucune mention de la surface en mètres carrés ou du nombre de places de parking à disposition de la locataire. Cela vaut d'autant plus que la recourante admet explicitement que la documentation contractuelle ne fait aucune mention d'un passage à disposition d'une société tierce (qui permettait à celle-ci d'accéder à ses stocks), qui venait pourtant diminuer l'emplacement réservé à la locataire. Elle ne démontre en outre pas qu'il était arbitraire pour la cour cantonale de retenir que l'usage fait par la locataire depuis le début du bail était déterminant, l'affirmation selon laquelle elle s'y serait " immédiatement " opposée ne trouvant aucun appui dans les pièces citées dans le recours. Force est d'ailleurs de constater que la première pièce évoquée par la recourante ne date que du 25 juin 2014, alors que le bail a débuté le 1er janvier 2014. C'est enfin de manière appellatoire et sans référence précise à l'appui que la recourante affirme que les espaces sont demeurés les mêmes, le marquage au sol venant uniquement " structurer " les surfaces attribuées à chacune des parties, et que la locataire savait devoir demander l'accord de toutes les parties pour obtenir un espace supplémentaire à celui attribué dans le plan annexé au bail. Le moyen tiré de la transgression de l' art. 9 Cst. est, pour autant qu'il soit recevable, infondé et la (prétendue) violation des art. 18 et 259 ss CO , qui repose sur la version des faits alléguée par la recourante, se révèle sans consistance.</w:t>
      </w:r>
    </w:p>
    <w:p>
      <w:r>
        <w:rPr>
          <w:b/>
        </w:rPr>
        <w:t>E. 3.2</w:t>
      </w:r>
    </w:p>
    <w:p>
      <w:r>
        <w:t>Sur la question du congé, la recourante estime que le motif réel retenu par la cour précédente découle d'un raisonnement arbitraire ( art. 9 Cst. ) et, partant, que celle-ci a violé l' art. 266 CO [recte : les art. 266a ss et 271 s. CO]. La première critique de la recourante repose sur la prémisse - incorrecte (cf. supra consid. 3.1) - selon laquelle les modifications du bail qu'elle a apportées seraient légitimes et en aucun cas entreprises au détriment de la locataire. Elle est dès lors sans consistance. C'est en vain que la recourante affirme, dans une critique distincte, que la cour cantonale aurait (arbitrairement) ignoré que les photos produites au moment de la résiliation du bail (qui démontreraient que la locataire n'avait pas enlevé, à la fin du mois d'octobre 2015, le matériel qu'elle avait déposé hors des zones de stockage, contrairement au constat dressé par les juges cantonaux) étaient datées (ce que les juges précédents avaient refusé d'admettre). Une éventuelle correction sur ce point n'aurait en effet aucune influence sur le sort de la cause puisqu'il résulte des constatations cantonales que le matériel concerné n'appartenait pas à la locataire et que la recourante ne tente pas de démontrer l'arbitraire de ce constat. S'agissant de l'installation de caméras de surveillance, la recourante considère qu'il s'agissait d'une action légitime et nécessaire. Force est toutefois de constater, d'une part, que cette mesure n'entre pas dans les motifs initialement invoqués par la bailleresse pour expliquer le congé (non-respect des règles du bail relatives au parcage de véhicules et à l'entreposage de matériel). D'autre part, même si l'on admettait la recevabilité de cette critique, essentiellement de nature appellatoire, elle serait impropre à démontrer l'arbitraire de la cour cantonale : la bailleresse se borne à insister sur la légitimité de la mesure prise (installation de caméras), alors qu'il s'agissait de démontrer, dans une perspective différente, qu'il était arbitraire de retenir que le congé avait été donné au motif que la locataire s'était opposée à l'installation de ces caméras. La recourante revient sur le fait, établi par la cour cantonale, que le conflit opposait exclusivement les administrateurs des parties et non les autres usagers des locaux, avec qui l'intimée n'avait aucun problème. Son argumentation ne convainc toutefois pas. On ne voit en particulier pas en quoi le fait qu'elle (la bailleresse) s'entendait bien avec les autres locataires permettrait de démontrer l'arbitraire de la cour cantonale. Quant aux déclarations des trois témoins cités par la recourante, qui démontreraient que la locataire serait seule responsable de la mauvaise entente entre les parties, la cour cantonale ne les a pas ignorées (en particulier celles des témoins C.________ et D.________); elle a jugé qu'elle pouvait en inférer que les relations entre les parties étaient " détériorées " et " très tendues ", mais non déterminer laquelle des parties endossait la responsabilité prépondérante. Sur ce point, la recourante se limite à présenter sa propre appréciation de différents extraits des déclarations de ces témoins, ce qui ne revient pas à démontrer que l'appréciation entreprise par la cour cantonale serait arbitraire. S'agissant enfin de l'affirmation relative au changement de cylindre, qui serait " purement gratuite " (soit une " pure invention " si l'on comprend bien la recourante), il n'y a pas lieu d'examiner ce point de fait de manière approfondie. D'une part, il est étranger au motif initialement invoqué par la bailleresse. D'autre part, il ne suffirait de toute façon pas, à lui seul, à remettre en question le fait, établi par la cour cantonale, selon lequel le motif invoqué par la recourante à l'appui de la résiliation est un prétexte (vu les nombreuses critiques qui viennent d'être écartées). Le moyen est infondé dans la mesure où il est recevable.</w:t>
      </w:r>
    </w:p>
    <w:p>
      <w:r>
        <w:rPr>
          <w:b/>
        </w:rPr>
        <w:t>E. 4</w:t>
      </w:r>
    </w:p>
    <w:p>
      <w:r>
        <w:t>Il résulte des considérations qui précèdent que le recours en matière civile doit être rejeté dans la mesure où il est recevable. 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