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4A_150/2012 vom 12. Juli 2012</w:t>
      </w:r>
    </w:p>
    <w:p>
      <w:r>
        <w:t>Bundesgericht, 2012-07-12, FR</w:t>
      </w:r>
    </w:p>
    <w:p>
      <w:r>
        <w:rPr>
          <w:b/>
        </w:rPr>
        <w:t xml:space="preserve">Quelle: </w:t>
      </w:r>
      <w:r>
        <w:t>https://mcp.opencaselaw.ch/entscheid/bger_4A_150_2012</w:t>
      </w:r>
    </w:p>
    <w:p>
      <w:r>
        <w:t>FR: TF 4A_150/2012 du 12 juillet 2012</w:t>
      </w:r>
    </w:p>
    <w:p>
      <w:r>
        <w:t>IT: TF 4A_150/2012 del 12 luglio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t>Le siège de l'arbitrage a été fixé à Genève. L'une des parties au moins (en l'occurrence, les deux) n'avait pas son domicile en Suisse au moment déterminant. Les dispositions du chapitre 12 de la LDIP sont donc applicables ( art. 176 al. 1 LDIP ).</w:t>
      </w:r>
    </w:p>
    <w:p>
      <w:r>
        <w:t>La recourante est directement touchée par la sentence attaquée, étant donné que le Tribunal arbitral l'a condamnée à payer une somme d'argent à l'intimée et n'a fait droit que très partiellement à ses conclusions reconventionnelles. Aussi a-t-elle indéniablement un intérêt digne de protection à l'annulation de cette sentence, ce qui lui confère la qualité pour recourir ( art. 76 al. 1 LTF ).</w:t>
      </w:r>
    </w:p>
    <w:p>
      <w:r>
        <w:t>Déposé dans les 30 jours suivant la notification de la sentence finale ( art. 100 al. 1 LTF ), le recours, qui satisfait aux exigences formelles posées par l' art. 42 al. 1 LTF , est recevable.</w:t>
      </w:r>
    </w:p>
    <w:p>
      <w:r>
        <w:rPr>
          <w:b/>
        </w:rPr>
        <w:t>E. 3</w:t>
      </w:r>
    </w:p>
    <w:p>
      <w:r>
        <w:t>En premier lieu, la recourante, se fondant sur l' art. 190 al. 2 let . d LDIP, fait grief au Tribunal arbitral d'avoir violé son droit d'être entendue en n'examinant pas les arguments qu'elle avait soulevés quant à l'absence de nouveaux tests de performance, d'une part, et au taux d'amidon appliqué lors du test de performance effectué, d'autre part.</w:t>
      </w:r>
    </w:p>
    <w:p>
      <w:r>
        <w:rPr>
          <w:b/>
        </w:rPr>
        <w:t>E. 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 in fine et les précédents cités).</w:t>
      </w:r>
    </w:p>
    <w:p>
      <w:r>
        <w:rPr>
          <w:b/>
        </w:rPr>
        <w:t>E. 3.2.1.1</w:t>
      </w:r>
    </w:p>
    <w:p>
      <w:r>
        <w:t>En ce qui concerne la vérification des performances garanties, la recourante expose, en substance, que, par le jeu de diverses stipulations contractuelles, l'intimée était tenue, en cas d'échec du premier test de performance, de changer ou de modifier à ses frais les machines dans un délai maximum de 12 mois à compter de la mise en service de l'installation et que, dans ce laps de temps, deux nouveaux tests, voire davantage en cas d'entente entre les parties, devaient être effectués au besoin. Or, toujours selon la recourante, l'intimée n'avait procédé à aucune amélioration des machines dans le délai en question et n'avait accepté de conduire de nouveaux tests de performance qu'à la condition que la recourante renonçât à lui réclamer l'indemnité forfaitaire stipulée dans le Contrat, adoptant ainsi un comportement contraire à ses obligations contractuelles. Aussi était-elle tenue de lui verser cette indemnité forfaitaire pour ne pas avoir réussi à faire en sorte que les performances garanties pussent être obtenues avant l'expiration du délai précité. De surcroît, l'absence de nouveaux tests constituait une circonstance déterminante quant à l'exigibilité du paiement de la dernière tranche du prix à payer par la recourante.</w:t>
      </w:r>
    </w:p>
    <w:p>
      <w:r>
        <w:t>Dans ce cadre-là, le Tribunal arbitral se voit reprocher par la recourante de n'avoir pas répondu, fût-ce de manière implicite, à la question essentielle de savoir si le refus de l'intimée de procéder aux tests supplémentaires à l'invitation de sa cocontractante avait un impact sur le droit de cette dernière à l'indemnité forfaitaire, voire sur l'exigibilité du dernier paiement convenu.</w:t>
      </w:r>
    </w:p>
    <w:p>
      <w:r>
        <w:rPr>
          <w:b/>
        </w:rPr>
        <w:t>E. 3.2.1.2</w:t>
      </w:r>
    </w:p>
    <w:p>
      <w:r>
        <w:t>Dans sa réponse au recours, l'intimée soutient que les arbitres ont répondu à la question litigieuse. Elle souligne, à titre liminaire, qu'ils ont mentionné, dans leur sentence, les arguments présentés par l'intéressée sur le point controversé. Selon elle, le Tribunal arbitral aurait retenu, pour divers motifs énoncés par lui, que la recourante était responsable du fait que les tests de performance additionnels n'avaient pas été effectués, répondant ainsi par la négative à la question de savoir si le comportement de l'intimée était à l'origine de cette absence de nouveaux tests. Il aurait, par ailleurs, interprété les stipulations contractuelles en ce sens que l'indemnité forfaitaire ne pouvait être réclamée qu'après l'échec d'un troisième test de performance. Aussi, de l'avis de l'intimée, les arbitres n'étaient-ils pas tenus d'examiner si son refus d'effectuer des tests supplémentaires avait un impact sur le droit de la recourante à l'indemnité forfaitaire.</w:t>
      </w:r>
    </w:p>
    <w:p>
      <w:r>
        <w:t>En tout état de cause, l'intimée considère que la recourante n'a pas établi en quoi les éléments prétendument omis par les arbitres eussent été pertinents pour résoudre le cas concret et qu'elle se plaint, en réalité, de l'absence de motivation ou de la motivation lacunaire de la sentence sur le point litigieux, grief n'entrant pas dans les prévisions de l' art. 190 al. 2 let . d LDIP.</w:t>
      </w:r>
    </w:p>
    <w:p>
      <w:r>
        <w:rPr>
          <w:b/>
        </w:rPr>
        <w:t>E. 3.2.1.3</w:t>
      </w:r>
    </w:p>
    <w:p>
      <w:r>
        <w:t>Tel qu'il est présenté, le moyen examiné ne saurait prospérer.</w:t>
      </w:r>
    </w:p>
    <w:p>
      <w:r>
        <w:t>Force est de relever, d'abord, l'insuffisance de sa motivation. Il apparaît, en effet, à la lecture de la sentence, que les nombreuses clauses contractuelles consacrées à la mise en oeuvre de la garantie de performance et, singulièrement, aux tests y afférents, voire celles ayant trait à l'exigibilité du paiement de la dernière tranche du prix stipulé, soulèvent des problèmes d'une rare complexité, s'agissant de les interpréter de manière à leur donner une signification intelligible et exempte de contradictions. Aussi la recourante en propose-t-elle une interprétation par trop simplificatrice lorsqu'elle semble vouloir en déduire, sans autres explications, que l'absence de tests de performance additionnels dans le délai prescrit suffisait à lui conférer le droit à l'indemnité forfaitaire, sans égard à la question de savoir si l'échec du premier test de performance était imputable à la partie qui avait livré l'installation litigieuse ou à celle qui l'avait reçue. Dans le même ordre d'idées, affirmer simplement, comme le fait la recourante, que l'admission de ses arguments "influerait inévitablement sur le droit de [l'intimée] à l'indemnité forfaitaire" ne saurait remplacer la démonstration concrète de la pertinence de tels arguments.</w:t>
      </w:r>
    </w:p>
    <w:p>
      <w:r>
        <w:t>Ensuite, les arbitres ont mentionné expressément la question soulevée par la recourante (cf. sentence, n. 143 et 144), ce que celle-ci est d'ailleurs la première à reconnaître (cf. recours, p. 13). Cette question ne leur a donc pas complètement échappé, même s'il est vrai que le fait de l'avoir mentionnée ne permet pas, à lui seul, d'écarter le reproche qui leur est adressé (cf. ATF 133 III 235 consid. 5.3).</w:t>
      </w:r>
    </w:p>
    <w:p>
      <w:r>
        <w:t>Enfin et surtout, les arbitres ont expliqué pourquoi, selon eux, l'absence de tests de garantie de performance valablement effectués dans les 15 mois depuis la mise en service de l'usine, soit jusqu'au 14 septembre 2009, était imputable à la recourante, de sorte qu'en vertu de l'art. 6.1, avant-dernier alinéa, de l'annexe 11 du Contrat, la garantie promise devait être considérée comme remplie (sentence, n. 237 à 271). Il est raisonnable de déduire de cette motivation que le Tribunal arbitral a écarté de la sorte, à tout le moins implicitement, l'argument de la recourante voulant que l'intimée fût tenue pour responsable de ce que les tests de garantie de performance prescrits par le Contrat n'avaient pas été effectués dans le délai prévu pour y procéder.</w:t>
      </w:r>
    </w:p>
    <w:p>
      <w:r>
        <w:rPr>
          <w:b/>
        </w:rPr>
        <w:t>E. 3.2.2</w:t>
      </w:r>
    </w:p>
    <w:p>
      <w:r>
        <w:t>Pour démontrer la nullité du test de performance effectué, l'intimée avait soutenu que la recourante n'avait pas respecté ses consignes en appliquant un taux d'amidon excessif. La recourante, selon ses dires, avait alors objecté que le respect des consignes de l'intimée aurait entraîné une violation des exigences contractuelles quant au taux d'amidon à appliquer. Cependant, les arbitres, faisant fi de cette objection, auraient invalidé le test de performance sans s'aviser de ce que le taux d'amidon restait dans les limites fixées par le Contrat.</w:t>
      </w:r>
    </w:p>
    <w:p>
      <w:r>
        <w:t>Le moyen est dénué de tout fondement. Il ressort de la sentence attaquée que la question soulevée a été expressément traitée par le Tribunal arbitral et que celui-ci a considéré que la recourante aurait dû se conformer aux instructions de l'intimée quant au taux d'amidon à appliquer, instructions qui l'emportaient sur les limites, du reste flexibles, fixées dans le contrat (sentence, n. 259 ss).</w:t>
      </w:r>
    </w:p>
    <w:p>
      <w:r>
        <w:rPr>
          <w:b/>
        </w:rPr>
        <w:t>E. 3.3</w:t>
      </w:r>
    </w:p>
    <w:p>
      <w:r>
        <w:t>Il suit de là que le moyen pris de la violation du devoir minimum de traiter les problèmes pertinents se révèle infondé dans ses deux branches.</w:t>
      </w:r>
    </w:p>
    <w:p>
      <w:r>
        <w:rPr>
          <w:b/>
        </w:rPr>
        <w:t>E. 4</w:t>
      </w:r>
    </w:p>
    <w:p>
      <w:r>
        <w:t>La recourante reproche, par ailleurs, au Tribunal arbitral d'avoir violé son droit à la preuve en ne donnant pas suite à sa réquisition tendant à ce qu'il procédât à une visite du site pour y constater de visu le caractère défectueux des équipements et machines livrés par l'intimée.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(arrêt 4A_440/2010 du 7 janvier 2011 consid. 4.1). Le Tribunal fédéral ne peut revoir une appréciation anticipée des preuves, sauf sous l'angle extrêmement restreint de l'ordre public. Le droit d'être entendu ne permet pas d'exiger une mesure probatoire inapte à apporter la preuve (arrêt 4A_600/2010 du 17 mars 2011 consid. 4.1).</w:t>
      </w:r>
    </w:p>
    <w:p>
      <w:r>
        <w:t>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4A_348/2009 du 6 janvier 2010 consid. 4). Ce principe est d'ailleurs exprimé à l'art. 39 du Règlement d'arbitrage de la CCI .</w:t>
      </w:r>
    </w:p>
    <w:p>
      <w:r>
        <w:rPr>
          <w:b/>
        </w:rPr>
        <w:t>E. 4.2</w:t>
      </w:r>
    </w:p>
    <w:p>
      <w:r>
        <w:t>Considéré à la lumière de ces principes jurisprudentiels et sur le vu des arguments que lui oppose l'intimée, le moyen soulevé par la recourante ne peut qu'être rejeté.</w:t>
      </w:r>
    </w:p>
    <w:p>
      <w:r>
        <w:t>D'abord, l'allégation de la recourante selon laquelle elle aurait réclamé "sans retard et à réitérées reprises" l'administration du moyen de preuve en question (recours, p. 15) est sujette à caution. La seule requête en ce sens, citée par la recourante, consiste en une lettre du 24 novembre 2010 de ses conseils priant le Tribunal arbitral d'envisager une visite du site. Telle qu'elle était libellée, cette requête, formulée quelque 16 mois après le début de la procédure arbitrale, n'avait rien de contraignant puisqu'elle ne faisait qu'évoquer la possibilité d'une inspection des lieux par les arbitres. De plus, la recourante n'indique pas quand et de quelle manière elle aurait réitéré semblable requête.</w:t>
      </w:r>
    </w:p>
    <w:p>
      <w:r>
        <w:t>S'agissant ensuite de la pertinence du moyen de preuve examiné, le Tribunal arbitral indique qu'il n'a pas jugé nécessaire de se rendre sur place (sentence, n. 48). Il n'a donc pas "ignoré" un moyen de preuve essentiel, contrairement à ce qu'affirme la recourante (recours, p. 16), mais a procédé à une appréciation anticipée de la pertinence de ce moyen de preuve qui l'a amené à considérer comme superflue l'administration de celui-ci. Le résultat de cette appréciation est soustrait à la connaissance du Tribunal fédéral (cf., ci-dessus, consid. 4.1, 2e § in fine). D'ailleurs, étant donné que la solution du différend soumis au Tribunal arbitral découlait essentiellement de l'interprétation des diverses clauses contractuelles se rapportant à l'exigibilité du prix et à la constatation du respect des garanties de performance promises, on peine à discerner, quoi qu'en dise la recourante, en quoi une inspection des lieux requise deux ans et demi environ après la mise en service de l'usine eût été d'une quelconque utilité pour les trois juristes appelés à résoudre ce différend.</w:t>
      </w:r>
    </w:p>
    <w:p>
      <w:r>
        <w:t>Quoi qu'il en soit, la recourante, si elle s'estimait victime d'une violation de son droit d'être entendue, aurait dû relancer les arbitres pendente lite ou, à tout le moins, lorsque le Tribunal arbitral avait déclaré la procédure close, en date du 20 décembre 2011 (sentence, n. 55). Elle aurait dû s'opposer alors à la clôture de la procédure arbitrale en attirant l'attention des arbitres sur le fait qu'ils n'avaient pas ordonné l'inspection des lieux requise par elle. Au lieu de quoi, la recourante a attendu de connaître l'issue du litige pour se plaindre alors seulement, après avoir constaté qu'elle lui était défavorable, de la violation de son droit à la preuve, ce qui n'est pas admissible.</w:t>
      </w:r>
    </w:p>
    <w:p>
      <w:r>
        <w:rPr>
          <w:b/>
        </w:rPr>
        <w:t>E. 5</w:t>
      </w:r>
    </w:p>
    <w:p>
      <w:r>
        <w:t>Dans un dernier groupe de moyens, la recourante, invoquant l' art. 190 al. 2 let . e LDIP, reproche au Tribunal arbitral d'avoir rendu une sentence incompatible avec l'ordre public. Plus précisément, elle lui fait grief d'avoir violé les règles de la bonne foi et le principe de la fidélité contractuelle.</w:t>
      </w:r>
    </w:p>
    <w:p>
      <w:r>
        <w:rPr>
          <w:b/>
        </w:rPr>
        <w:t>E. 5.1</w:t>
      </w:r>
    </w:p>
    <w:p>
      <w:r>
        <w:t>L'examen matériel d'une sentence arbitrale internationale, par le Tribunal fédéral, est limité à la question de la compatibilité de la sentence avec l'ordre public ( ATF 121 III 331 consid. 3a).</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figurent, notamment, la fidélité contractuelle et le respect des règles de la bonne foi. Pour qu'il y ait incompatibilité avec l'ordre public matériel, notion plus restrictive que celle d'arbitraire, il ne suffit pas qu'une règle de droit ait été clairement violée (arrêt 4P.71/2002 du 22 octobre 2002 consid. 3.2 et les arrêts cités).</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4A_370/2007 du 21 février 2008 consid. 5.5).</w:t>
      </w:r>
    </w:p>
    <w:p>
      <w:r>
        <w:t>Les règles de la bonne foi doivent être comprises dans le sens que leur donne la jurisprudence rendue au sujet de l' art. 2 CC (arrêt 4A_488/2009 du 15 février 2010 consid. 3.1).</w:t>
      </w:r>
    </w:p>
    <w:p>
      <w:r>
        <w:rPr>
          <w:b/>
        </w:rPr>
        <w:t>E. 5.2.1</w:t>
      </w:r>
    </w:p>
    <w:p>
      <w:r>
        <w:t>Dans un premier moyen, intitulé: "Double standard dans l'application du principe de la bonne foi", la recourante reproche, en substance, au Tribunal arbitral d'avoir fait une "application à géométrie variable" de ce principe dans l'interprétation des clauses contractuelles pertinentes: il s'en serait tenu à une interprétation littérale du Contrat s'agissant du devoir de la recourante de respecter les consignes de l'intimée dans le cadre du test de performance, tout en s'écartant du Contrat, nonobstant son texte clair, dans l'interprétation des conditions d'exigibilité de la dernière tranche du prix convenu.</w:t>
      </w:r>
    </w:p>
    <w:p>
      <w:r>
        <w:t>Le moyen considéré est de nature purement appellatoire et n'a rien à voir avec l'ordre public, tel qu'il a été défini par la jurisprudence précitée. Il vise à obtenir, en réalité, un réexamen par la Cour de céans du bien-fondé de l'interprétation que les arbitres ont faite des clauses contractuelles relatives à l'exigibilité du prix, d'une part, et aux modalités du test de performance, d'autre part. Tel n'est pas le rôle du Tribunal fédéral lorsqu'il est saisi du grief de violation de l'ordre public matériel dans le cadre d'un recours en matière d'arbitrage international. Au demeurant, la recourante oublie, en formulant son grief, que le moyen pris de l'incohérence intrinsèque des considérants d'une sentence n'entre pas dans la définition de l'ordre public matériel (arrêt 4A_464/2009 du 15 février 2010 consid. 5.1).</w:t>
      </w:r>
    </w:p>
    <w:p>
      <w:r>
        <w:t>Par conséquent, il n'y a pas lieu d'examiner plus avant les mérites du grief en question.</w:t>
      </w:r>
    </w:p>
    <w:p>
      <w:r>
        <w:rPr>
          <w:b/>
        </w:rPr>
        <w:t>E. 5.2.2</w:t>
      </w:r>
    </w:p>
    <w:p>
      <w:r>
        <w:t>Le grief de violation du principe pacta sunt servanda, formulé en dernier lieu par la recourante, n'apparaît pas plus fondé que les précédents.</w:t>
      </w:r>
    </w:p>
    <w:p>
      <w:r>
        <w:t>Selon l'intéressée, le Tribunal arbitral aurait alloué à l'intimée un montant de 312'000 euros au titre des coûts additionnels d'ingénierie, alors que la clause contractuelle pertinente faisait dépendre l'admissibilité d'une telle prétention d'un accord écrit des parties, dont l'absence, en l'espèce, avait pourtant été implicitement reconnue par lui. Ce faisant, il aurait refusé d'appliquer une disposition contractuelle dont il avait reconnu l'existence, violant ainsi le principe de la fidélité contractuelle et, partant, l'ordre public matériel.</w:t>
      </w:r>
    </w:p>
    <w:p>
      <w:r>
        <w:t>Tel n'est pas le cas. L'existence et le contenu de la clause contractuelle litigieuse n'ont pas échappé aux arbitres. Toutefois, ceux-ci ont jugé que la recourante ne pouvait pas se prévaloir de l'absence de l'accord écrit prévu par cette clause pour obtenir de l'intimée une prestation sans bourse délier, en s'abstenant simplement de confirmer par écrit son acceptation des travaux additionnels sans fournir de motif valable à son abstention (sentence, n. 304 et 305). En la condamnant à payer le montant susmentionné, ils ont ainsi pris une décision qui était parfaitement conforme à l'appréciation juridique qu'ils avaient faite de la situation. On ne saurait le leur reprocher sous l'angle de l' art. 190 al. 2 let . e LDIP.</w:t>
      </w:r>
    </w:p>
    <w:p>
      <w:r>
        <w:rPr>
          <w:b/>
        </w:rPr>
        <w:t>E. 6</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