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4A_14/2026 vom 30. Januar 2026</w:t>
      </w:r>
    </w:p>
    <w:p>
      <w:r>
        <w:t>Bundesgericht, 2026-01-30, DE</w:t>
      </w:r>
    </w:p>
    <w:p>
      <w:r>
        <w:rPr>
          <w:b/>
        </w:rPr>
        <w:t xml:space="preserve">Quelle: </w:t>
      </w:r>
      <w:r>
        <w:t>https://mcp.opencaselaw.ch/entscheid/bger_4A_14_2026</w:t>
      </w:r>
    </w:p>
    <w:p>
      <w:r>
        <w:t>FR: TF 4A_14/2026 du 30 janvier 2026</w:t>
      </w:r>
    </w:p>
    <w:p>
      <w:r>
        <w:t>IT: TF 4A_14/2026 del 30 gennaio 2026</w:t>
      </w:r>
    </w:p>
    <w:p>
      <w:pPr>
        <w:pStyle w:val="Heading2"/>
      </w:pPr>
      <w:r>
        <w:t>Erwägungen</w:t>
      </w:r>
    </w:p>
    <w:p>
      <w:r>
        <w:rPr>
          <w:b/>
        </w:rPr>
        <w:t>E. 1</w:t>
      </w:r>
    </w:p>
    <w:p>
      <w:r>
        <w:t>Das Präsidium des Bezirksgerichts Baden stellte mit Entscheid vom 10. Juni 2025 auf Begehren der C.________ AG (Vermieterin; Beschwerdegegnerin) fest, dass das Mietverhältnis zwischen dieser und A.________ und B.________ (Mieter; Beschwerdeführer) über die 4.5-Zimmerwohnung im Erdgeschoss am U.________weg in V.________ per 30. November 2024 aufgelöst sei und verpflichtete die Mieter, das Mietobjekt spätestens innert 10 Tagen nach Rechtskraft dieses Entscheids zu räumen und zu verlassen sowie in vertragsgemässem Zustand inkl. sämtlicher Schlüssel zu übergeben, unter Androhung des polizeilichen Vollzuges im Unterlassungsfall.</w:t>
      </w:r>
    </w:p>
    <w:p>
      <w:r>
        <w:t>Eine von den Mietern dagegen erhobene Berufung wies das Obergericht des Kantons Aargau mit Entscheid vom 28. November 2025 ab.</w:t>
      </w:r>
    </w:p>
    <w:p>
      <w:r>
        <w:t>Gegen diesen Entscheid erhoben die Mieter beim Bundesgericht mit Eingabe vom 9. Januar 2026 Beschwerde.</w:t>
      </w:r>
    </w:p>
    <w:p>
      <w:r>
        <w:t>Auf das Einholen von Vernehmlassungen zur Beschwerde wurde verzichtet.</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detailliert begründet worden ist ( Art. 106 Abs. 2 BGG ).</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Das Bundesgericht kann die Sachverhaltsfeststellung der Vorinstanz nur berichtigen oder ergänzen, wenn sie offensichtlich unrichtig, mithin willkürlich, ist oder auf einer Rechtsverletzung im Sinne von Art. 95 BGG beruht ( Art. 105 Abs. 2 BGG ) und wenn die Behebung des Mangels für den Ausgang des Verfahrens entscheidend sein kann ( Art. 97 Abs. 1 BGG ).</w:t>
      </w:r>
    </w:p>
    <w:p>
      <w:r>
        <w:t>Die Partei, welche die Sachverhaltsfeststellung der Vorinstanz anfechten will, muss klar und substanziiert aufzeigen, inwiefern diese Voraussetzungen erfüllt sein sollen (sog. Sachverhaltsrügen;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 S. 18).</w:t>
      </w:r>
    </w:p>
    <w:p>
      <w:r>
        <w:t>Neue Tatsachen und Beweismittel dürfen nur so weit vorgebracht werden, als erst der Entscheid der Vorinstanz dazu Anlass gibt ( Art. 99 Abs. 1 BGG ), was in der Beschwerde näher darzulegen ist ( BGE 148 V 174 E. 2.2; 134 V 223 E. 2.2.1; 133 III 393 E. 3).</w:t>
      </w:r>
    </w:p>
    <w:p>
      <w:r>
        <w:rPr>
          <w:b/>
        </w:rPr>
        <w:t>E. 3</w:t>
      </w:r>
    </w:p>
    <w:p>
      <w:r>
        <w:t>Diesen Anforderungen an die Begründung genügt die Eingabe vom 9. Januar 2026 offensichtlich nicht. Auf die demnach unzulässige Beschwerde ist somit im vereinfachten Verfahren nach Art. 108 Abs. 1 lit. b BGG nicht einzutreten, wobei sich die Urteilsbegründung auf eine kurze Angabe des Unzulässigkeitsgrundes beschränkt ( Art. 108 Abs. 3 BGG ).</w:t>
      </w:r>
    </w:p>
    <w:p>
      <w:r>
        <w:rPr>
          <w:b/>
        </w:rPr>
        <w:t>E. 4</w:t>
      </w:r>
    </w:p>
    <w:p>
      <w:r>
        <w:t>Bei diesem Ausgang des Verfahrens sind die Gerichtskosten den Beschwerdeführern unter solidarischer Haftbarkeit aufzuerlegen ( Art. 66 Abs. 1 und 5 BGG ). Die Beschwerdegegnerin hat keinen Anspruch auf eine Parteientschädigung, da ihr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