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14/2024 vom 6. August 2024</w:t>
      </w:r>
    </w:p>
    <w:p>
      <w:r>
        <w:t>Bundesgericht, 2024-08-06, DE</w:t>
      </w:r>
    </w:p>
    <w:p>
      <w:r>
        <w:rPr>
          <w:b/>
        </w:rPr>
        <w:t xml:space="preserve">Quelle: </w:t>
      </w:r>
      <w:r>
        <w:t>https://mcp.opencaselaw.ch/entscheid/bger_4A_14_2024</w:t>
      </w:r>
    </w:p>
    <w:p>
      <w:r>
        <w:t>FR: TF 4A 14/2024 du 6 août 2024</w:t>
      </w:r>
    </w:p>
    <w:p>
      <w:r>
        <w:t>IT: TF 4A 14/2024 del 6 agosto 2024</w:t>
      </w:r>
    </w:p>
    <w:p>
      <w:pPr>
        <w:pStyle w:val="Heading2"/>
      </w:pPr>
      <w:r>
        <w:t>Regeste</w:t>
      </w:r>
    </w:p>
    <w:p>
      <w:r>
        <w:t>Arbeitsvertrag, | Vertragsrecht</w:t>
      </w:r>
    </w:p>
    <w:p>
      <w:pPr>
        <w:pStyle w:val="Heading2"/>
      </w:pPr>
      <w:r>
        <w:t>Erwägungen</w:t>
      </w:r>
    </w:p>
    <w:p>
      <w:r>
        <w:rPr>
          <w:b/>
        </w:rPr>
        <w:t>E. 1.1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Das Bundesgericht prüft von Amtes wegen und mit freier Kognition, ob ein Rechtsmittel zulässig ist ( Art. 29 Abs. 1 BGG ; BGE 149 III 277 E. 3.1; 148 IV 155 E. 1.1 ; 145 I 121 E. 1).</w:t>
      </w:r>
    </w:p>
    <w:p>
      <w:r>
        <w:rPr>
          <w:b/>
        </w:rPr>
        <w:t>E. 2.1</w:t>
      </w:r>
    </w:p>
    <w:p>
      <w:r>
        <w:t>Das angefochtene Urteil ist ein Endentscheid ( Art. 90 BGG ) einer Vorinstanz im Sinne von Art. 75 BGG . Der Streitwert erreicht die Grenze von Fr. 15'000.-- gemäss Art. 74 Abs. 1 lit. a BGG nicht. Dies anerkennt die Beschwerdeführerin. Sie macht jedoch geltend, es stelle sich eine Rechtsfrage von grundsätzlicher Bedeutung im Sinne von Art. 74 Abs. 2 lit. a BGG .</w:t>
      </w:r>
    </w:p>
    <w:p>
      <w:r>
        <w:rPr>
          <w:b/>
        </w:rPr>
        <w:t>E. 2.2</w:t>
      </w:r>
    </w:p>
    <w:p>
      <w:r>
        <w:t>Der Begriff der Rechtsfrage von grundsätzlicher Bedeutung ist sehr restriktiv auszulegen ( BGE 134 III 267 E. 1.2; Urteil 4A_372/2017 vom 6. November 2017 E. 1.3). Soweit es bei der aufgeworfenen Frage lediglich um die Anwendung von Grundsätzen der Rechtsprechung auf einen konkreten Fall geht, handelt es sich nicht um eine Rechtsfrage von grundsätzlicher Bedeutung ( BGE 135 III 1 E. 1.3 mit Hinweisen). Eine Rechtsfrage von grundsätzlicher Bedeutung liegt hingegen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Es ist erforderlich, dass die Frage von allgemeiner Tragweite ist ( BGE 134 III 267 E. 1.2). Wenn geltend gemacht wird, dass die unteren Instanzen viele gleichartige Fälle beurteilen werden, muss die zu beurteilende Streitsache überdies geeignet sein, die Frage auch mit Bezug auf die anderen Fälle zu klären ( BGE 139 II 340 E. 4). Ist eine Beschwerde nur unter der Voraussetzung zulässig, dass sich eine Rechtsfrage von grundsätzlicher Bedeutung stellt, so hat die beschwerdeführende Partei auszuführen, warum diese Voraussetzung erfüllt ist ( Art. 42 Abs. 2 Satz 2 BGG ), ansonsten die Beschwerde in Zivilsachen unzulässig ist ( BGE 136 II 489 E. 2.6).</w:t>
      </w:r>
    </w:p>
    <w:p>
      <w:r>
        <w:rPr>
          <w:b/>
        </w:rPr>
        <w:t>E. 2.2.1</w:t>
      </w:r>
    </w:p>
    <w:p>
      <w:r>
        <w:t>Die Beschwerdeführerin macht geltend, gemäss Art. 20 Abs. 2 des Bundesgesetzes vom 6. Oktober 1989 über die Arbeitsvermittlung und den Personalverleih (AVG; SR 823.11) sei das paritätische Organ zwar berechtigt, bei nicht geringfügigen Verstössen Konventionalstrafen auszusprechen, jedoch nur unter der Voraussetzung, dass eine entsprechende Meldung an das kantonale Arbeitsamt erfolgt sei. Diese Bestimmung habe die Vorinstanz verletzt. Zum einen habe die Beschwerdeführerin in Erfahrung bringen können, dass der Beschwerdegegner keine entsprechende Meldung nach Art. 20 Abs. 2 AVG an das kantonale Arbeitsamt gemacht habe. Zum anderen sei die Konventionalstrafe von der Vorinstanz zu Unrecht wegen geringfügiger Verstösse (konkret: wegen Vorenthaltens von Lohn und wegen Nichtrückbehalts von Ferienguthaben gegenüber den kontrollierten Arbeitnehmern) verhängt worden.</w:t>
      </w:r>
    </w:p>
    <w:p>
      <w:r>
        <w:rPr>
          <w:b/>
        </w:rPr>
        <w:t>E. 2.2.2</w:t>
      </w:r>
    </w:p>
    <w:p>
      <w:r>
        <w:t>Soweit die Beschwerdeführerin geltend macht, der Beschwerdegegner habe es unterlassen, die nicht geringfügigen Verstösse dem kantonalen Arbeitsamt zu melden, ergänzt sie den von der Vorinstanz festgestellten Sachverhalt, ohne eine zulässige Sachverhaltsrüge zu erheben. So zeigt sie weder auf, inwiefern sie diese Tatsachenbehauptung bereits vor den Vorinstanzen prozesskonform geltend gemacht hat, noch inwiefern die fehlende Sachverhaltsfeststellung der Vorinstanz in diesem Punkt geradezu willkürlich sein soll. Diese Sachverhaltsergänzung ist daher unzulässig und muss unberücksichtigt bleiben (vgl. E. 1.2 hiervor). Der Beschwerdeführerin fehlt somit die Sachverhaltsgrundlage für die Behauptung einer Verletzung der Meldepflicht gemäss Art. 20 Abs. 2 AVG , weshalb sie mit dieser Behauptung auch keine Rechtsfrage von grundsätzlicher Bedeutung aufzuzeigen vermag. Soweit die Beschwerdeführerin sodann geltend macht, es sei in unzulässiger Weise eine Konventionalstrafe für einen geringfügigen Verstoss gegen den GAVP verhängt worden, geht sie im Wesentlichen an der Begründung der Vorinstanz vorbei. Die Vorinstanz hat festgehalten, dass die mehrfache Nichtrückbehaltung des Ferienlohnes durch die Beschwerdeführerin einen bloss geringfügigen Verstoss gegen Art. 13 Abs. 2 GAVP darstelle. Sie hat sodann gestützt auf Art. 38 Abs. 4 GAVP diesen geringfügigen Verstoss bei der Bemessung der Konventionalstrafe strafverschärfend berücksichtigt. Sie hat in diesem Zusammenhang aber festgehalten, dass es vorliegend gerade nicht darum gehe, ob die mehrfache Nichtrückbehaltung des Ferienlohns als nicht geringfügiger Verstoss im Sinne von Art. 20 Abs. 2 AVG zu qualifizieren sei. Vielmehr gehe es darum, ob diese mehrfache Nichtrückbehaltung des Ferienlohnes bei der Bemessung der Konventionalstrafe strafverschärfend berücksichtigt werden könne, wenn bereits wegen eines anderen, nicht geringfügigen Verstosses gegen den GAVP (konkret: fehlende oder ungenügende BVG-Versicherung in mehreren Fällen) eine Konventionalstrafe auszusprechen sei. Die von der Beschwerdeführerin aufgeworfene Frage, ob auch bei geringfügigen Verstössen gegen den GAVP eine Konventionalstrafe ausgesprochen werden kann, stellt sich somit vorliegend gerade nicht. Die Beschwerdeführerin zeigt auch im Übrigen nicht auf, inwiefern sich eine Frage von grundsätzlicher Bedeutung stellen soll. Insbesondere zeigt sie nicht auf, inwiefern die strafverschärfende Berücksichtigung eines geringfügigen Verstosses gegen den GAVP bei der Bemessung der Höhe einer bereits wegen eines nicht geringfügigen Verstosses gegen den GAVP verhängten Konventionalstrafe eine Frage von grundsätzlicher Bedeutung darstellen soll.</w:t>
      </w:r>
    </w:p>
    <w:p>
      <w:r>
        <w:rPr>
          <w:b/>
        </w:rPr>
        <w:t>E. 2.3</w:t>
      </w:r>
    </w:p>
    <w:p>
      <w:r>
        <w:t>Der erforderliche Streitwert wird nicht erreicht und es stellt sich keine Rechtsfrage von grundsätzlicher Bedeutung, weshalb sich die Beschwerde in Zivilsachen als unzulässiges Rechtsmittel erweist.</w:t>
      </w:r>
    </w:p>
    <w:p>
      <w:r>
        <w:rPr>
          <w:b/>
        </w:rPr>
        <w:t>E. 3</w:t>
      </w:r>
    </w:p>
    <w:p>
      <w:r>
        <w:t>Die Beschwerde ist daher als subsidiäre Verfassungsbeschwerde zu behandeln ( Art. 113 BGG ). Mit der subsidiären Verfassungsbeschwerde kann die Verletzung verfassungsmässiger Rechte gerügt werden ( Art. 116 BGG ). Die Beschwerdeführerin rügt in ihrer Beschwerdeschrift jedoch nicht hinreichend die Verletzung verfassungsmässiger Rechte. Vielmehr beschränkt sie sich auf die pauschale Behauptung, es könne allenfalls eine Verletzung des Rechtsgleichheitsgebots ( Art. 8 BV ) oder der Eigentumsgarantie ( Art. 26 BV ) vorliegen, ohne dies allerdings näher zu begründen. Auf die Beschwerde ist somit auch als subsidiäre Verfassungsbeschwerde nicht einzutreten.</w:t>
      </w:r>
    </w:p>
    <w:p>
      <w:r>
        <w:rPr>
          <w:b/>
        </w:rPr>
        <w:t>E. 4</w:t>
      </w:r>
    </w:p>
    <w:p>
      <w:r>
        <w:t>Bei diesem Ausgang des Verfahrens wird die Beschwerdeführerin kostenpflichtig ( Art. 66 Abs. 1 BGG ). Dem geringen Aufwand für den vorliegenden Nichteintretensentscheid wird mit einer Reduktion der Gerichtsgebühr Rechnung getragen. Eine Parteientschädigung ist nicht geschuldet, da dem Beschwerdegegner mangels Einholung einer Beschwerdeantwort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