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4A_14/2020 vom 18. Juni 2020</w:t>
      </w:r>
    </w:p>
    <w:p>
      <w:r>
        <w:t>Bundesgericht, 2020-06-18, DE</w:t>
      </w:r>
    </w:p>
    <w:p>
      <w:r>
        <w:rPr>
          <w:b/>
        </w:rPr>
        <w:t xml:space="preserve">Quelle: </w:t>
      </w:r>
      <w:r>
        <w:t>https://mcp.opencaselaw.ch/entscheid/bger_4A_14_2020</w:t>
      </w:r>
    </w:p>
    <w:p>
      <w:r>
        <w:t>FR: TF 4A_14/2020 du 18 juin 2020</w:t>
      </w:r>
    </w:p>
    <w:p>
      <w:r>
        <w:t>IT: TF 4A_14/2020 del 18 giugno 2020</w:t>
      </w:r>
    </w:p>
    <w:p>
      <w:pPr>
        <w:pStyle w:val="Heading2"/>
      </w:pPr>
      <w:r>
        <w:t>Erwägungen</w:t>
      </w:r>
    </w:p>
    <w:p>
      <w:r>
        <w:rPr>
          <w:b/>
        </w:rPr>
        <w:t>E. 1.1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gewahrt (Art. 100 Abs. 1 i.V.m. Art. 46 Abs. 1 lit. c BGG ).</w:t>
      </w:r>
    </w:p>
    <w:p>
      <w:r>
        <w:rPr>
          <w:b/>
        </w:rPr>
        <w:t>E. 1.2</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3.1 S. 490 f. mit Hinweisen).</w:t>
      </w:r>
    </w:p>
    <w:p>
      <w:r>
        <w:t>Die Beschwerdeführerin beantragt, das Urteil der Vorinstanz sei aufzuheben und " die Sache im Sinne der nachfolgenden Erwägungen zur er neuten Beurteilung unter Gewährung des rechtlichen Gehörs und der Garantie auf ein öffentliches Verfahren" an die Vorinstanz zurückzuweisen. Einen Antrag in der Sache stellt sie nicht und gibt nicht an, inwiefern das Dispositiv des angefochtenen Urteils zu ändern wäre. Auch aus ihrer Beschwerdebegründung ergibt sich nicht ohne weiteres, welchen materiellen Antrag sie stellen möchte. Sie rügt jedoch eine Verletzung ihres Anspruchs auf rechtliches Gehör ( Art. 29 Abs. 2 BV ). Das Bundesgericht könnte, sollte es die Rechtsauffassung der Beschwerdeführerin in diesem Punkt teilen, nicht selbst entscheiden, sondern müsste die Sache zur Behebung des behaupteten Verfahrensmangels an die Vorinstanz zurückweisen. Daher genügt der Rückweisungsantrag der Beschwerdeführerin. Auf die Beschwerde ist - unter Vorbehalt einer genügenden Begründung (vgl. sogleich Erwägung 2)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 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Die Beschwerdeführerin beanstandet, dass die Vorinstanz keine mündliche Hauptverhandlung durchgeführt hat. Sie rügt eine Verletzung von Art. 6 Abs. 1 EMRK , Art. 14 Abs. 1 des Internationalen Paktes über bürgerliche und politische Rechte (UNO-Pakt II; SR 0.103.2), Art. 29 Abs. 2 und Art. 30 Abs. 3 BV sowie von Art. 54, Art. 228 und Art. 233 ZPO .</w:t>
      </w:r>
    </w:p>
    <w:p>
      <w:r>
        <w:rPr>
          <w:b/>
        </w:rPr>
        <w:t>E. 3.2</w:t>
      </w:r>
    </w:p>
    <w:p>
      <w:r>
        <w:t>Die Vorinstanz erwog, die Beschwerdeführerin habe auf die Durchführung einer mündlichen Hauptverhandlung verzichtet. Sie habe im Einklang mit den Anträgen der Beschwerdegegnerin dem Verzicht auf mündliche Schlussvorträge zugestimmt und das Gericht um die Möglichkeit zur Einreichung schriftlicher Schlussvorträge ersucht. Die unklar formulierte Eingabe der anwaltlich vertretenen Beschwerdeführerin sei nach Treu und Glauben sowie unter Berücksichtigung des Verfahrensstands auszulegen. Der Beschwerdeführerin sei mitgeteilt worden, die tatsächlichen Verhältnisse seien hinlänglich abgeklärt, weshalb es auch nicht zu weiteren Beweisabnahmen habe kommen können. Vor diesem Hintergrund habe die Erklärung der Beschwerdeführerin nur so verstanden werden können, dass sie auf eine mündliche Verhandlung verzichte und die Einreichung schriftlicher Schlussvorträge beantrage. Es widerspreche der Praxis der Vorinstanz, mündliche Hauptverhandlungen ohne mündliche Schlussvorträge durchzuführen, da dies das Verfahren nur unnötig verzögere und dem Beschleunigungsgebot zuwiderlaufe. Diese Variante habe der Beschwerdeführerin daher nicht zur Auswahl gestanden.</w:t>
      </w:r>
    </w:p>
    <w:p>
      <w:r>
        <w:rPr>
          <w:b/>
        </w:rPr>
        <w:t>E. 3.3</w:t>
      </w:r>
    </w:p>
    <w:p>
      <w:r>
        <w:t>Nach Art. 228 ff. ZPO haben die Parteien Anspruch auf eine mündliche Hauptverhandlung. Art. 233 ZPO gibt ihnen aber die Möglichkeit, gemeinsam auf die Durchführung einer solchen zu verzichten.</w:t>
      </w:r>
    </w:p>
    <w:p>
      <w:r>
        <w:t>Der Verzicht auf eine Hauptverhandlung setzt nach Art. 233 ZPO voraus, dass ihn beide Parteien erklären. Das Gesetz schreibt keine bestimmte Form vor; die Erklärung kann auch mündlich erfolgen. Auch eine ausdrückliche Äusserung verlangt das Gesetz nicht; ein konkludenter Verzicht ist denkbar. Allerdings ist zu beachten, dass die mündliche Hauptverhandlung der Wahrung grundrechtlicher Verfahrensgarantien dient. Zu erwähnen ist der Anspruch auf rechtliches Gehör und der Grundsatz der Öffentlichkeit des Verfahrens. Daher darf nicht leichthin von einem Verzicht ausgegangen werden ( BGE 140 III 450 E. 3.2 S. 454 mit zahlreichen Hinweisen).</w:t>
      </w:r>
    </w:p>
    <w:p>
      <w:r>
        <w:t>Die Parteien können auf die vollständige mündliche Hauptverhandlung verzichten. Denkbar ist aber auch ein Verzicht auf einen der drei Teilabschnitte, also ein Verzicht nur auf die Parteivorträge ( Art. 228 ZPO ), die Beweisabnahme ( Art. 231 ZPO ) oder die Schlussvorträge ( Art. 232 ZPO ). Dabei darf ein pauschal erklärter Verzicht nicht ohne weiteres als Gesamtverzicht gewertet werden (Urteil 4A_47/2015 vom 2. Juni 2015 E. 3.2 mit zahlreichen Hinweisen).</w:t>
      </w:r>
    </w:p>
    <w:p>
      <w:r>
        <w:rPr>
          <w:b/>
        </w:rPr>
        <w:t>E. 3.4</w:t>
      </w:r>
    </w:p>
    <w:p>
      <w:r>
        <w:t>Die Rüge der Beschwerdeführerin erweist sich als begründet.</w:t>
      </w:r>
    </w:p>
    <w:p>
      <w:r>
        <w:t>Die Vorinstanz durfte nicht annehmen, die Beschwerdeführerin habe auf die mündliche Hauptverhandlung verzichtet. Ganz im Gegenteil hatte der Rechtsvertreter der Beschwerdeführerin am 17. Oktober 2019 auf die Anfrage des Vizepräsidenten vom 9. Oktober 2019 geantwortet, "dass an der Durchführung einer mündlichen Hauptverhandlung festgehalten wird".</w:t>
      </w:r>
    </w:p>
    <w:p>
      <w:r>
        <w:t>Die Beschwerdeführerin hatte lediglich "auf mündliche Schlussvorträge nach Beendigung des Beweisverfahrens" verzichtet. In diesem Sinne beantragte sie, "schriftliche Schlussvorträgen [recte: Schlussvorträge] (Art. 233 [recte: 232] Abs. 2 ZPO) einreiche n zu können ". Es steht ausser Zweifel, dass sie damit den Schlussvortrag nach Abschluss der Beweisabnahme gemäss Art. 232 ZPO meinte. Der Verweis auf " Art. 233 Abs. 2 ZPO " erfolgte offensichtlich versehentlich, zumal es diese Bestimmung überhaupt nicht gibt.</w:t>
      </w:r>
    </w:p>
    <w:p>
      <w:r>
        <w:t>Nachdem der Vizepräsident am 18. Oktober 2019 verfügt hatte, die Parteien hätten auf die Durchführung der Hauptverhandlung verzichtet, opponierte der Rechtsvertreter der Beschwerdeführerin am 22. Oktober 2019 postwendend. Auch in dieser Eingabe unterlief ihm ein Fehler, indem er mitteilte, er habe am 17. Oktober 2019 " an der Durchführung einer schriftlichen Hauptverhandlung festgehalten ". Allerdings handelt es sich auch hier um einen offensichtlichen Verschreiber, da er in seinem Schreiben vom 17. Oktober 2019, auf welches Bezug genommen wurde, wörtlich " an der Durchführung einer mündlichen Haupt verhandlung festgehalten" hatte.</w:t>
      </w:r>
    </w:p>
    <w:p>
      <w:r>
        <w:rPr>
          <w:b/>
        </w:rPr>
        <w:t>E. 3.5</w:t>
      </w:r>
    </w:p>
    <w:p>
      <w:r>
        <w:t>Nicht stichhaltig ist der Einwand der Beschwerdegegnerin, bei der Verfügung vom 23. Oktober 2019 handle es sich um eine Zwischenverfügung gemäss Art. 92 BGG , die von den Parteien innert 30 Tagen beim Bundesgericht hätte angefochten werden müssen. Nach Art. 92 Abs. 1 BGG ist die Beschwerde gegen selbständig eröffnete Vor- und Zwischenentscheide über die Zuständigkeit und über Ausstandsbegehren zulässig. Diese Entscheide können später nicht mehr angefochten werden ( Art. 92 Abs. 2 BGG ). Die Verfügung vom 23. Oktober 2019 betraf aber weder die Zuständigkeit noch ein Ausstandsbegehren, so dass Art. 92 Abs. 2 BGG nicht zur Anwendung gelangt. Aus dem Grundsatz von Treu und Glauben und dem Verbot des Rechtsmissbrauchs leitet die Rechtsprechung allerdings ab, es sei nicht zulässig, formelle Rügen, die in einem früheren Prozessstadium hätten geltend gemacht werden können, bei ungünstigem Ausgang noch später vorzubringen ( BGE 141 III 210 E. 5.2 S. 216; 135 III 334 E. 2.2 S. 336). Diesbezüglich kann der Beschwerdeführerin aber kein Vorwurf gemacht werden. Sie hat auf die Verfügung vom 18. Oktober 2019 am 22. Oktober 2019 reagiert. Die daraufhin ergangene Verfügung vom 23. Oktober 2019 hat sie in ihrem Schlussvortrag mit dem Hinweis bemängelt, sie habe Anspruch auf die Durchführung einer mündlichen Hauptverhandlung.</w:t>
      </w:r>
    </w:p>
    <w:p>
      <w:r>
        <w:rPr>
          <w:b/>
        </w:rPr>
        <w:t>E. 3.6</w:t>
      </w:r>
    </w:p>
    <w:p>
      <w:r>
        <w:t>Nach dem Gesagten ist die Sache zur Durchführung einer Hauptverhandlung und neuer Beurteilung an die Vorinstanz zurückzuweisen.</w:t>
      </w:r>
    </w:p>
    <w:p>
      <w:r>
        <w:t>Auf die weitere Rüge der Beschwerdeführerin, wonach die Vorinstanz eine unzulässige antizipierte Beweiswürdigung vorgenommen habe, ist bei diesem Ausgang nicht mehr einzugehen.</w:t>
      </w:r>
    </w:p>
    <w:p>
      <w:r>
        <w:rPr>
          <w:b/>
        </w:rPr>
        <w:t>E. 4</w:t>
      </w:r>
    </w:p>
    <w:p>
      <w:r>
        <w:t>Die Beschwerde ist gutzuheissen, soweit darauf einzutreten ist, und das angefochtene Urteil ist aufzuheben. Die Beschwerdegegnerin wird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