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149/2024 vom 17. Juni 2024</w:t>
      </w:r>
    </w:p>
    <w:p>
      <w:r>
        <w:t>Bundesgericht, 2024-06-17, FR</w:t>
      </w:r>
    </w:p>
    <w:p>
      <w:r>
        <w:rPr>
          <w:b/>
        </w:rPr>
        <w:t xml:space="preserve">Quelle: </w:t>
      </w:r>
      <w:r>
        <w:t>https://mcp.opencaselaw.ch/entscheid/bger_4A_149_2024</w:t>
      </w:r>
    </w:p>
    <w:p>
      <w:r>
        <w:t>FR: TF 4A 149/2024 du 17 juin 2024</w:t>
      </w:r>
    </w:p>
    <w:p>
      <w:r>
        <w:t>IT: TF 4A 149/2024 del 17 giugno 2024</w:t>
      </w:r>
    </w:p>
    <w:p>
      <w:pPr>
        <w:pStyle w:val="Heading2"/>
      </w:pPr>
      <w:r>
        <w:t>Regeste</w:t>
      </w:r>
    </w:p>
    <w:p>
      <w:r>
        <w:t>expulsion, | Droit des sociétés</w:t>
      </w:r>
    </w:p>
    <w:p>
      <w:pPr>
        <w:pStyle w:val="Heading2"/>
      </w:pPr>
      <w:r>
        <w:t>Erwägungen</w:t>
      </w:r>
    </w:p>
    <w:p>
      <w:r>
        <w:rPr>
          <w:b/>
        </w:rPr>
        <w:t>E. 1</w:t>
      </w:r>
    </w:p>
    <w:p>
      <w:r>
        <w:t>Les conditions de recevabilité du recours en matière civile sont satisfaites sur le principe. Demeure réservé l'examen de la recevabilité, sous l'angle de leur motivation, des griefs soulevés par la recourante.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l'obligation de motiver imposée par l' art. 42 al. 2 LTF , il ne traitera toutefois que les questions qui sont soulevées devant lui par les parties, à moins que la violation du droit ne soit manifeste ( ATF 140 III 86 consid. 2). Par exception à la règle selon laquelle il applique le droit d'office, il n'examine la violation d'un droit constitutionnel que si le grief a été invoqué et motivé de façon détaillée ( art. 106 al. 2 LTF ; ATF 142 III 364 consid. 2.4).</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140 III 167 consid. 2.1).</w:t>
      </w:r>
    </w:p>
    <w:p>
      <w:r>
        <w:rPr>
          <w:b/>
        </w:rPr>
        <w:t>E. 3</w:t>
      </w:r>
    </w:p>
    <w:p>
      <w:r>
        <w:t>Dans un premier moyen intitulé " Contestation du cas clair ", la recourante reproche à l'autorité précédente d'avoir arbitrairement nié l'existence d'une société simple conclue par les parties et d'avoir enfreint les art. 530 ss CO . Elle fait en outre grief à la cour cantonale d'avoir jugé que les conditions du cas clair étaient remplies en l'espèce.</w:t>
      </w:r>
    </w:p>
    <w:p>
      <w:r>
        <w:rPr>
          <w:b/>
        </w:rPr>
        <w:t>E. 3.1</w:t>
      </w:r>
    </w:p>
    <w:p>
      <w:r>
        <w:t>Conformément aux principes généraux applicables tant à la conclusion qu'à l'interprétation des contrats,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arrêts 4A_411/2021 du 27 juillet 2022 consid. 5.1; 4A_643/2020 du 22 octobre 2021 consid. 4).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 art. 97 al. 1 et art. 105 al. 2 LTF ), c'est-à-dire arbitraires au sens de l' art. 9 Cst. ( ATF 144 III 93 consid. 5.2.2; arrêt 4A_643/2020, précité, consid. 4).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arrêt 4A_643/2020, précité, consid. 4).</w:t>
      </w:r>
    </w:p>
    <w:p>
      <w:r>
        <w:rPr>
          <w:b/>
        </w:rPr>
        <w:t>E. 3.2</w:t>
      </w:r>
    </w:p>
    <w:p>
      <w:r>
        <w:t>Dans l'arrêt attaqué, la juridiction cantonale retient que l'existence même d'une société simple en lien avec la villa de V.________ est de facto exclue, vu l'absence de volonté réciproque et concordante des parties de conclure un tel contrat. Pour aboutir à pareil résultat, elle souligne notamment que la recourante prétend ne pas avoir reçu l'argent que lui devait l'intimé dans le cadre de la vente de sa part de copropriété d'une demie sur l'immeuble sis à U.________, alors même qu'elle en a pourtant donné quittance devant notaire. Elle relève surtout que l'intéressée n'a pas démontré avoir investi la moindre somme d'argent lors de l'acquisition de la villa de V.________ et qu'elle a même affirmé, lors de son audition pénale, que le prix d'achat de ladite villa avait été réglé grâce à l'argent de la vente de la maison de U.________ que seul l'intimé avait touché. La cour cantonale observe également que l'acquisition de la maison de V.________ est survenue six ans après la vente de la part de copropriété d'une demie sur l'immeuble de U.________. Elle relève enfin que le crédit hypothécaire destiné à l'acquisition de la villa de V.________ a certes été contracté par la recourante et son fils, mais constate que l'épouse de ce dernier a repris cette dette, en lieu et place de la recourante, aux côtés de son époux.</w:t>
      </w:r>
    </w:p>
    <w:p>
      <w:r>
        <w:rPr>
          <w:b/>
        </w:rPr>
        <w:t>E. 3.3</w:t>
      </w:r>
    </w:p>
    <w:p>
      <w:r>
        <w:t>Dans son mémoire de recours, l'intéressée se lance dans une critique de nature purement appellatoire. Elle se borne, en effet, à affirmer qu'elle n'a jamais perçu le montant provenant de la vente de sa part de copropriété sur l'immeuble de U.________ et à soutenir que son fils n'aurait jamais pu acquérir la villa de V.________ sans les importants apports financiers initiaux de sa mère lors de l'achat de la maison de U.________. La recourante prétend aussi s'être occupée de l'intendance de la villa de V.________ et du jardin et rappelle qu'elle y a vécu plusieurs années avec son fils. Elle insiste en outre sur le fait qu'elle était codébitrice du prêt hypothécaire contracté lors de l'acquisition de la maison de V.________. Enfin, la recourante précise que son fils devait établir un testament en sa faveur aux fins de la protéger, ce qui n'a finalement pas été fait. En argumentant comme elle le fait, l'intéressée ne démontre nullement en quoi la cour cantonale serait tombée dans l'arbitraire en retenant que la volonté réelle des parties n'avait jamais été de conclure un contrat de société simple ayant pour objet le bien-fonds sis à V.________. Elle se contente de substituer sa propre vision des circonstances pertinentes de la cause en litige aux faits établis par la juridiction cantonale. Sa critique est dès lors irrecevable. Quoi qu'il en soit, sur la base des faits ainsi retenus, le Tribunal fédéral estime que la juridiction cantonale n'a pas enfreint le droit fédéral en niant l'existence d'un contrat de société simple liant les parties concernant l'immeuble de V.________. La recourante dénonce ainsi, en pure perte, une violation des règles sur la liquidation de la société simple, puisque l'existence de celle-ci a été niée à bon droit. Pour le reste, l'intéressée se borne à soutenir que la situation juridique n'est pas claire, qu'elle est complexe et que plusieurs points méritent une instruction plus approfondie. Son argumentation s'épuise toutefois dans cette seule affirmation et on cherche ainsi, en vain, une critique un tant soit peu motivée des considérations émises par la cour cantonale pour justifier la solution retenue par elle. Le grief examiné ne peut dès lors qu'être rejeté dans la mesure de sa recevabilité.</w:t>
      </w:r>
    </w:p>
    <w:p>
      <w:r>
        <w:rPr>
          <w:b/>
        </w:rPr>
        <w:t>E. 4</w:t>
      </w:r>
    </w:p>
    <w:p>
      <w:r>
        <w:t>Dans un deuxième moyen, la recourante soutient que le Président du Tribunal civil de l'arrondissement de la Broye et du Nord vaudois n'était pas compétent ratione valoris pour connaître de la présente procédure. A son avis, l'autorité précédente n'aurait pas dû déterminer la valeur litigieuse en calculant celle-ci sur la base de l'action en revendication au sens de l' art. 641 al. 1 CC , mais au contraire tenir compte de ce que le litige portait sur la liquidation d'une société simple. Semblable grief ne saurait prospérer. L'argumentation développée par la recourante repose, en effet, sur la prémisse de fait non avérée selon laquelle les parties auraient été liées par un contrat de société simple ayant pour objet la villa de V.________.</w:t>
      </w:r>
    </w:p>
    <w:p>
      <w:r>
        <w:rPr>
          <w:b/>
        </w:rPr>
        <w:t>E. 5</w:t>
      </w:r>
    </w:p>
    <w:p>
      <w:r>
        <w:t>Dans un troisième et dernier moyen, la recourante dénonce une violation du principe de l'autorité de la chose jugée ancré à l' art. 59 al. 2 let . e CPC. A cet égard, elle soutient que l'autorité précédente aurait fait fi de l'autorité de la chose jugée attachée au jugement rendu le 12 août 2021 par la Chambre patrimoniale cantonale vaudoise, laquelle s'était prononcée exactement sur le même litige que celui objet de la présente procédure et avait déclaré irrecevable la requête en cas clair introduite auprès d'elle.</w:t>
      </w:r>
    </w:p>
    <w:p>
      <w:r>
        <w:rPr>
          <w:b/>
        </w:rPr>
        <w:t>E. 5.1</w:t>
      </w:r>
    </w:p>
    <w:p>
      <w:r>
        <w:t>En principe, seul un jugement de fond définitif jouit de l'autorité de chose jugée. Lorsqu'un procès prend fin par un jugement d'irrecevabilité de la demande en justice, l'autorité de ce jugement est restreinte à la condition de recevabilité qui a été discutée et jugée défaillante ( ATF 134 III 467 consid. 3.2; arrêt 4A_536/2018 du 16 mars 2020 consid. 3.1.2 et les références citées). S'agissant de la procédure de protection dans les cas clairs, si le juge parvient à la conclusion que les conditions du cas clair sont remplies, le demandeur obtient gain de cause par une décision ayant l'autorité de la chose jugée et la force exécutoire ( ATF 144 III 462 consid. 3.1; 138 III 620 consid. 5.1.1). Si elles ne sont pas réalisées et que le demandeur ne peut donc obtenir gain de cause, le juge ne peut que prononcer l'irrecevabilité de la demande. Il est en effet exclu que la procédure puisse aboutir au rejet de la prétention du demandeur avec autorité de la chose jugée ( ATF 140 III 315 consid. 5). Lorsqu'une partie voit sa requête en cas clair être déclarée irrecevable et se procure après coup des preuves supplémentaires, il lui est loisible d'introduire une nouvelle requête en cas clair (arrêts 4A_70/2022 du 4 janvier 2023 consid. 4.1; 4A_420/2012 du 7 novembre 2012 consid. 5).</w:t>
      </w:r>
    </w:p>
    <w:p>
      <w:r>
        <w:rPr>
          <w:b/>
        </w:rPr>
        <w:t>E. 5.2</w:t>
      </w:r>
    </w:p>
    <w:p>
      <w:r>
        <w:t>Dans la décision querellée, la cour cantonale a écarté l'exception de chose jugée. Elle a observé que la requête en cas clair introduite le 19 avril 2021 avait été déclarée irrecevable par la Chambre patrimoniale cantonale vaudoise le 12 août 2021 au motif que la situation juridique n'était pas claire, étant donné qu'on ne pouvait pas exclure l'existence d'un contrat de société ou de bail conclu par les parties. Elle a toutefois noté que la situation avait évolué depuis lors puisque l'inexistence d'un contrat de bail avait été officiellement constatée par décision du 18 juillet 2022 et que l'éventuelle société simple avait été dissoute par l'intimé en date du 31 octobre 2022.</w:t>
      </w:r>
    </w:p>
    <w:p>
      <w:r>
        <w:rPr>
          <w:b/>
        </w:rPr>
        <w:t>E. 5.3</w:t>
      </w:r>
    </w:p>
    <w:p>
      <w:r>
        <w:t>Dans son mémoire de recours, l'intéressée ne discute pas la motivation de l'arrêt entrepris et ne démontre pas en quoi celle-ci méconnaîtrait le droit fédéral. Elle se borne à affirmer que la situation était en l'occurrence identique à celle qui prévalait au moment où la Chambre patrimoniale cantonale vaudoise a statué. Sa critique est dès lors irrecevable car elle ne respecte nullement les exigences de motivation de l' art. 42 al. 2 LTF .</w:t>
      </w:r>
    </w:p>
    <w:p>
      <w:r>
        <w:rPr>
          <w:b/>
        </w:rPr>
        <w:t>E. 6</w:t>
      </w:r>
    </w:p>
    <w:p>
      <w:r>
        <w:t>Au vu de ce qui précède, le recours ne peut qu'être rejeté dans la faible mesure de sa recevabilité. La recourante, qui succombe, supportera les frais de la présente procédure ( art. 66 al. 1 LTF ). L'intimé n'a pas droit à des dépens, puisqu'il n'a pas été invité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