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4A_147/2024 vom 24. April 2024</w:t>
      </w:r>
    </w:p>
    <w:p>
      <w:r>
        <w:t>Bundesgericht, 2024-04-24, DE</w:t>
      </w:r>
    </w:p>
    <w:p>
      <w:r>
        <w:rPr>
          <w:b/>
        </w:rPr>
        <w:t xml:space="preserve">Quelle: </w:t>
      </w:r>
      <w:r>
        <w:t>https://mcp.opencaselaw.ch/entscheid/bger_4A_147_2024</w:t>
      </w:r>
    </w:p>
    <w:p>
      <w:r>
        <w:t>FR: TF 4A_147/2024 du 24 avril 2024</w:t>
      </w:r>
    </w:p>
    <w:p>
      <w:r>
        <w:t>IT: TF 4A_147/2024 del 24 aprile 2024</w:t>
      </w:r>
    </w:p>
    <w:p>
      <w:pPr>
        <w:pStyle w:val="Heading2"/>
      </w:pPr>
      <w:r>
        <w:t>Erwägungen</w:t>
      </w:r>
    </w:p>
    <w:p>
      <w:r>
        <w:rPr>
          <w:b/>
        </w:rPr>
        <w:t>E. 1.1</w:t>
      </w:r>
    </w:p>
    <w:p>
      <w:r>
        <w:t>Am 15. November 2022 überbrachte der Beschwerdeführer dem Bezirksgericht Luzern ein vom 1. November 2022 datiertes Schreiben. Darin ersuchte er das Bezirksgericht darum, die Sachlage hinsichtlich seiner Notsituation abzuklären und eine Verfügung zu erlassen. Er gab seinen Namen und seine E-Mail-Adresse bekannt. Mit E-Mail vom 16. November 2022 forderte das Bezirksgericht den Beschwerdeführer auf, eine postalische Zustelladresse bekannt zu geben. Der Beschwerdeführer leistete dieser Aufforderung keine Folge und liess sich nicht vernehmen. Für das Bezirksgericht hatte es damit sein Bewenden; es wurde formell kein Fall eröffnet.</w:t>
      </w:r>
    </w:p>
    <w:p>
      <w:r>
        <w:rPr>
          <w:b/>
        </w:rPr>
        <w:t>E. 1.2</w:t>
      </w:r>
    </w:p>
    <w:p>
      <w:r>
        <w:t>Am 17. November 2023 überbrachte der Beschwerdeführer dem Kantonsgericht Luzern ein mit "Rechtsverzögerung/Rechtsverweigerung" betiteltes Schreiben. Mit Entscheid vom 2. Februar 2024 wies das Kantonsgericht Luzern die Beschwerde ab. Es erwog im Wesentlichen, dass das Bezirksgericht dem Beschwerdeführer im Sinne von Art. 132 Abs. 1 ZPO die Möglichkeit eingeräumt habe, seine Eingabe mit der Bekanntgabe seiner Postadresse zu verbessern. Da der Beschwerdeführer eine Verbesserung unterliess, habe das Bezirksgericht ohne Rechtsverweigerung oder -verzögerung, gestützt auf Art. 132 Abs. 1 ZPO , die Eingabe als nicht erfolgt betrachten dürfen. Somit habe sich auch die Prüfung der Frage erübrigt, ob das Bezirksgericht für das Anliegen des Beschwerdeführers überhaupt sachlich und örtlich zuständig gewesen sei. Überspitzter Formalismus liege ebenfalls nicht vor.</w:t>
      </w:r>
    </w:p>
    <w:p>
      <w:r>
        <w:rPr>
          <w:b/>
        </w:rPr>
        <w:t>E. 1.3</w:t>
      </w:r>
    </w:p>
    <w:p>
      <w:r>
        <w:t>Der Beschwerdeführer erhebt Beschwerde beim Bundesgericht. Er stellt verschiedene Anträge; mitunter beantragt er, der Entscheid des Kantonsgerichts vom 2. Februar 2024 sei aufzuheben, die "Ereignisse vom September 2022" seien vollumfänglich abzuklären und ihm sei eine Übergangslösung, medizinische Grundversorgung und Zugang zu Lebensmittel zu ermöglichen. Zudem ersucht er um Gewährung der unentgeltlichen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 März 2024 nicht hinreichend mit den Erwägungen des angefochtenen Entscheids des Kantonsgerichts des Kantons Luzern vom 2. Februar 2024 auseinander und zeigt nicht rechtsgenügend auf, inwiefern die Vorinstanz mit ihrem Entscheid Bundesrecht verletzt hätte. Er unterbreitet dem Bundesgericht stattdessen in unzulässiger Weise seine eigene Sicht der Dinge zu seiner Notlage, zu Versäumnissen der Sozialbehörden und zu den Hindernissen, eine Postadresse zu bezeichnen. Er nimmt zwar Bezug auf Art. 132 Abs. 1 ZPO und erwähnt auch verschiedene Bestimmungen der Bundesverfassung, zeigt jedoch offensichtlich nicht hinreichend auf, inwiefern die Vorinstanz diese verletzt haben soll.</w:t>
      </w:r>
    </w:p>
    <w:p>
      <w:r>
        <w:t>Auf die Beschwerde ist somit im vereinfachten Verfahren gemäss Art. 108 Abs. 1 lit. a und lit. b BGG nicht einzutreten.</w:t>
      </w:r>
    </w:p>
    <w:p>
      <w:r>
        <w:rPr>
          <w:b/>
        </w:rPr>
        <w:t>E. 3</w:t>
      </w:r>
    </w:p>
    <w:p>
      <w:r>
        <w:t>Es rechtfertigt sich ausnahmsweise, auf die Erhebung von Gerichtskosten zu verzichten (Art. 66 Abs. 1 zweiter Satz BGG). Das Gesuch des Beschwerdeführers um unentgeltliche Rechtspflege wird damit gegenstandslos (Art. 66 Abs. 1 zweiter Satz BGG). Der Beschwerdegegnerin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