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146/2013 vom 31. Juli 2013</w:t>
      </w:r>
    </w:p>
    <w:p>
      <w:r>
        <w:t>Bundesgericht, 2013-07-31, FR</w:t>
      </w:r>
    </w:p>
    <w:p>
      <w:r>
        <w:rPr>
          <w:b/>
        </w:rPr>
        <w:t xml:space="preserve">Quelle: </w:t>
      </w:r>
      <w:r>
        <w:t>https://mcp.opencaselaw.ch/entscheid/bger_4A_146_2013</w:t>
      </w:r>
    </w:p>
    <w:p>
      <w:r>
        <w:t>FR: TF 4A 146/2013 du 31 juillet 2013</w:t>
      </w:r>
    </w:p>
    <w:p>
      <w:r>
        <w:t>IT: TF 4A 146/2013 del 31 luglio 2013</w:t>
      </w:r>
    </w:p>
    <w:p>
      <w:pPr>
        <w:pStyle w:val="Heading2"/>
      </w:pPr>
      <w:r>
        <w:t>Regeste</w:t>
      </w:r>
    </w:p>
    <w:p>
      <w:r>
        <w:t>société simple | Droit des sociétés</w:t>
      </w:r>
    </w:p>
    <w:p>
      <w:pPr>
        <w:pStyle w:val="Heading2"/>
      </w:pPr>
      <w:r>
        <w:t>Erwägungen</w:t>
      </w:r>
    </w:p>
    <w:p>
      <w:r>
        <w:rPr>
          <w:b/>
        </w:rPr>
        <w:t>E. 1.1</w:t>
      </w:r>
    </w:p>
    <w:p>
      <w:r>
        <w:t>Interjeté par une partie qui a succombé dans ses conclusions touchant ses droits patrimoniaux et qui a donc qualité pour recourir ( art. 76 al. 1 LTF ), dirigé contre un jugement final ( art. 90 LTF ) rendu en matière civile ( art. 72 al. 1 LTF ) par un tribunal supérieur statuant sur recours en dernière instance cantonale ( art. 75 LTF ) dans une affaire pécuniaire dont la valeur litigieuse atteint le seuil de 30'000 fr. ( art. 74 al. 1 let. b LTF ), le recours est recevable, puisqu'il a été déposé dans le délai (art. 45 al. 1, 48 al. 1 et 100 al. 1 LTF) et la forme ( art. 42 LTF ) prévus par la loi.</w:t>
      </w:r>
    </w:p>
    <w:p>
      <w:r>
        <w:rPr>
          <w:b/>
        </w:rPr>
        <w:t>E. 1.2</w:t>
      </w:r>
    </w:p>
    <w:p>
      <w:r>
        <w:t>Dans le précédent arrêt rendu dans la même cause (4A_624/2011), le Tribunal fédéral a précisé l'étendue et les limites de son pouvoir d'examen en ce qui concerne les contestations de fait et les questions de droit eu égard aux conclusions des parties. Il n'y a pas lieu d'y revenir.</w:t>
      </w:r>
    </w:p>
    <w:p>
      <w:r>
        <w:rPr>
          <w:b/>
        </w:rPr>
        <w:t>E. 1.3</w:t>
      </w:r>
    </w:p>
    <w:p>
      <w:r>
        <w:t>Lorsque - comme c'est le cas en l'espèce - le Tribunal fédéral est saisi une deuxième fois de la même cause, il est lié par les considérants de son précédent jugement et il ne saurait revenir sur une question déjà tranchée ( ATF 125 III 421 consid. 2a p. 423, 443 consid. 3a p. 446).</w:t>
      </w:r>
    </w:p>
    <w:p>
      <w:r>
        <w:rPr>
          <w:b/>
        </w:rPr>
        <w:t>E. 2.1</w:t>
      </w:r>
    </w:p>
    <w:p>
      <w:r>
        <w:t>Les questions de droit de fond ayant déjà été traitées dans le précédent arrêt, le recourant se borne à se plaindre d'arbitraire dans l'application du droit cantonal. Selon la jurisprudence, l'arbitraire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138 I 49 consid. 7.1 p. 51, 305 consid. 4.4 p. 319; 138 III 378 consid. 6.1 p. 379 s.; 138 IV 13 consid. 5.1 p. 22). Lorsque la partie recourante invoque l'arbitraire dans l'application du droit cantonal, elle doit désigner la norme cantonale qui aurait été violée arbitrairement et expliquer en quoi consisterait l'arbitraire, l'examen étant limité aux griefs soulevés avec une précision suffisante ( art. 106 al. 2 LTF ; ATF 110 Ia 1 consid. 2a p. 3). En l'espèce, le recourant n'invoque qu'une violation de l'art. 302 al. 1 du code de procédure civile vaudois. Cette disposition détermine dans quel délai et à quelles conditions le président du tribunal peut ordonner la rectification d'un jugement entaché d'une erreur ou d'une omission. Le jugement étant entaché d'une omission, le président du tribunal l'a rectifiée dans sa mouture du 10 mai 2010. La Chambre des recours a constaté que cette rectification violait l' art. 302 CPC /VD et a ordonné qu'une version non rectifiée soit notifiée aux parties. Le Tribunal fédéral n'est pas revenu sur cette question dans son arrêt du 27 janvier 2012. Le juge de première instance a donc notifié une nouvelle décision, datée du 9 mars 2012, qui ne comporte plus aucune rectification. Ainsi, la décision qui est à la base de la phase actuelle de la procédure ne comporte aucune rectification, de sorte que l' art. 302 CPC /VD n'était pas applicable à cette nouvelle décision et ne peut donc pas avoir été violé. Simplement, la Chambre des recours, saisie d'un recours contre la nouvelle décision, devait juger la cause à nouveau ( art. 456 al. 1 CPC /VD) et elle a apporté l'adjonction qui s'imposait et que le juge de première instance aurait voulu faire tardivement. En l'état actuel de la procédure, on ne voit pas en quoi l' art. 302 CPC /VD pourrait avoir été violé arbitrairement. On pourrait tout au plus se demander si le jugement de première instance a été notifié une première fois sous une forme défectueuse puis une seconde fois sous la forme expurgée ou s'il ne s'agit plus de la même décision et que le jugement de première instance véritable a été notifié pour la première fois le 12 mars 2012. Cette deuxième conception conduirait à dire que le jugement devait faire l'objet d'un appel en vertu de l' art. 405 al. 1 CPC . Selon la jurisprudence constante, il n'y a pas lieu de revenir sur une question de droit délicate lorsque celle-ci n'est plus discutée devant le Tribunal fédéral (cf. ATF 137 III 580 consid. 1.3 p. 584; 135 II 384 consid. 2.2.1 p. 389; 135 III 397 consid. 1.4 p. 400). Comme il n'a jamais été contesté que le jugement de première instance était sujet à un recours selon le droit cantonal, il n'y a pas lieu d'y revenir.</w:t>
      </w:r>
    </w:p>
    <w:p>
      <w:r>
        <w:rPr>
          <w:b/>
        </w:rPr>
        <w:t>E. 2.2</w:t>
      </w:r>
    </w:p>
    <w:p>
      <w:r>
        <w:t>Du point de vue du droit de fond, les parties ont constitué une société en nom collectif ( art. 552 CO ) pour exploiter ensemble leur chantier naval et ils ont conclu un contrat de société simple ( art. 530 CO ) pour exercer ensemble leur droit de propriété sur la parcelle. Il eût été plus simple, d'un point de vue juridique, que les associés fassent apport à la société en nom collectif du terrain leur appartenant. Qu'il y ait deux sociétés distinctes ne signifie pas encore que celles-ci sont totalement indépendantes l'une de l'autre. Il faut rappeler que les parties peuvent, en tout temps et sans exigence de forme, convenir de lier entre eux deux contrats en soi distincts et de les soumettre aux mêmes conditions quant à leur extinction; on parle alors de contrats couplés, interdépendants, liés ou connexes ( ATF 136 III 65 consid. 2.4.1 p. 70 et les auteurs cités). En l'espèce, il a été constaté et il n'est pas contesté que le terrain est nécessaire pour l'exploitation de l'entreprise. Il existe donc un lien fonctionnel entre les deux sociétés. Le recourant ne prétend pas qu'avant l'erreur de procédure commise par le juge de première instance, l'une des parties aurait demandé de dissocier le sort de l'entreprise et celui du terrain. Il apparaît au contraire que chacune des parties demandait que l'entreprise lui soit attribuée avec le terrain qui lui est nécessaire. Le recourant ne prétend pas non plus que l'une des parties aurait protesté lorsque l'expert a évalué l'entreprise avec le terrain. Il a été constaté et il n'est pas contesté que les parties, pour exercer leur droit de propriété sur la parcelle, ont constitué entre elles une société simple à parts égales, conclue pour une durée indéterminée. Dans une telle situation, chacun des associés peut dénoncer la société simple ( art. 545 al. 1 ch. 6 CO ). C'est manifestement ce que le recourant a fait en demandant en justice que la société simple soit dissoute et partagée. La dénonciation est un acte formateur qui provoque la dissolution de la société simple et sur lequel son auteur ne peut pas revenir unilatéralement (François Chaix, Commentaire romand, CO I, Bâle 2008, n° 21 ad art. 545-547). Les parties étant en conflit, il est évident qu'elles n'ont pas conclu une nouvelle société simple après la dénonciation. En conséquence, cette société simple est dissoute. Le recourant a demandé en justice que l'on procède au partage et l'autorité cantonale devait donner suite à cette conclusion sous peine de commettre un déni de justice. Les règles sur la liquidation d'une société simple n'étant pas impératives, le Tribunal fédéral a jugé, sur la base des circonstances et de l'attitude des parties, qu'elles étaient convenues de soumettre cette liquidation aux mêmes règles que celles de la liquidation de la société en nom collectif avec laquelle elle est liée et qui revêt un caractère principal (arrêt du 27 janvier 2012 consid. 2.2); il est exclu de revenir sur une question juridique déjà tranchée. Le juge de première instance a donné suite à la conclusion en partage de la société simple qui lui était présentée. Se fondant sur un rapport d'expertise, il a condamné l'intimé à payer au recourant la somme de 1'050'000 fr. correspondant à la moitié de la valeur de l'entreprise avec le terrain. Ce point de la décision a été confirmé par la Chambre des recours dans son arrêt du 11 mai 2011 et le Tribunal fédéral, dans son arrêt du 27 janvier 2012, n'y a vu aucune violation du droit fédéral. Ainsi, ce point est aujourd'hui définitivement acquis. Il restait à déterminer la contrepartie que le recourant devait fournir en échange de cette somme. Le juge de première instance a clairement prévu que l'intimé resterait dans les locaux et lui a donc attribué l'entreprise. Ce point a été approuvé par la Chambre des recours dans son arrêt du 11 mai 2011 et le Tribunal fédéral, dans son arrêt du 27 janvier 2012, n'y a vu aucune violation du droit fédéral. Que ce soit au recourant de quitter les lieux a été expressément admis par l'arrêt du Tribunal fédéral du 27 janvier 2012 et il n'y a pas lieu de revenir sur une question déjà tranchée. Comme la somme de 1'050'000 fr. que l'intimé doit payer au recourant (et qui est définitivement acquise) correspond à la moitié de la valeur de l'entreprise avec le terrain, il en résulte qu'il faut logiquement prévoir que l'intimé, en échange de la somme dite, devient seul propriétaire de la parcelle et que les inscriptions au registre foncier doivent être modifiées en conséquence. Le juge de première instance a cependant omis de le dire. Se rendant compte de son erreur, il a essayé de la corriger tardivement, ce que le droit cantonal ne lui permettait pas, s'agissant d'une erreur touchant le fond. Le juge de première instance a donc été astreint par l'autorité supérieure à notifier sa décision telle qu'il l'avait rendue. C'est ce qu'il a fait le 12 mars 2012. La décision notifiée à cette date se présentait cependant d'une manière différente de celle qui avait été notifiée précédemment. Elle ouvrait ainsi un nouveau délai de recours, que les deux parties ont saisi. La Chambre des recours, que le droit cantonal habilitait à juger à nouveau la cause en fait et en droit - il en aurait été de même en cas d'appel - à corriger l'omission de manière cohérente - comme le juge de première instance aurait voulu le faire tardivement -, en prévoyant le transfert de propriété de la parcelle et la modification des inscriptions au registre foncier, puisque le prix à payer par l'intimé a été fixé à juste titre en considérant qu'il recevait à la fois l'entreprise et le terrain. Ainsi, l'inadvertance commise par le juge de première instance (qu'il ne pouvait pas corriger lui-même) a été corrigée par l'autorité supérieure, dont le rôle est précisément de rectifier des erreurs ou omissions. Il n'y a rien à redire à cela et le recours doit être rejeté, parce qu'il est dépourvu de tout fondement.</w:t>
      </w:r>
    </w:p>
    <w:p>
      <w:r>
        <w:rPr>
          <w:b/>
        </w:rPr>
        <w:t>E. 3</w:t>
      </w:r>
    </w:p>
    <w:p>
      <w:r>
        <w:t>Les frais judiciaires et les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