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146/2009 vom 16. Juni 2009</w:t>
      </w:r>
    </w:p>
    <w:p>
      <w:r>
        <w:t>Bundesgericht, 2009-06-16, FR</w:t>
      </w:r>
    </w:p>
    <w:p>
      <w:r>
        <w:rPr>
          <w:b/>
        </w:rPr>
        <w:t xml:space="preserve">Quelle: </w:t>
      </w:r>
      <w:r>
        <w:t>https://mcp.opencaselaw.ch/entscheid/bger_4A_146_2009</w:t>
      </w:r>
    </w:p>
    <w:p>
      <w:r>
        <w:t>FR: TF 4A 146/2009 du 16 juin 2009</w:t>
      </w:r>
    </w:p>
    <w:p>
      <w:r>
        <w:t>IT: TF 4A 146/2009 del 16 giugno 2009</w:t>
      </w:r>
    </w:p>
    <w:p>
      <w:pPr>
        <w:pStyle w:val="Heading2"/>
      </w:pPr>
      <w:r>
        <w:t>Regeste</w:t>
      </w:r>
    </w:p>
    <w:p>
      <w:r>
        <w:t>reconnaissances de dette, erreur, bonne foi | Droit des obligations (en général)</w:t>
      </w:r>
    </w:p>
    <w:p>
      <w:pPr>
        <w:pStyle w:val="Heading2"/>
      </w:pPr>
      <w:r>
        <w:t>Erwägungen</w:t>
      </w:r>
    </w:p>
    <w:p>
      <w:r>
        <w:rPr>
          <w:b/>
        </w:rPr>
        <w:t>E. 1.1</w:t>
      </w:r>
    </w:p>
    <w:p>
      <w:r>
        <w:t>Interjeté par la partie demanderesse qui a entièrement succombé dans son action en libération de dette et qui a ainsi la qualité pour recourir ( art. 76 al. 1 LTF ), dirigé contre un arrêt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 Le recours en matière civile peut être interjeté pour violation du droit, tel qu'il est délimité par les art. 95 et 96 LTF .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134 III 102 consid. 1.1 et l'arrêt cité). Il s'en tient cependant d'ordinaire aux questions juridiques que la partie recourante soulève dans la motivation du recours ( art. 42 al. 2 LTF ; ATF 133 II 249 consid. 1.4.1 p. 254). Il n'examine la violation de droits constitutionnels que s'il est saisi d'un grief invoqué et motivé de façon détaillée ( art. 106 al. 2 LTF ; ATF 134 I 83 consid. 3.2 p. 88; 133 II 249 consid. 1.4.2 p. 254).</w:t>
      </w:r>
    </w:p>
    <w:p>
      <w:r>
        <w:rPr>
          <w:b/>
        </w:rPr>
        <w:t>E. 1.2</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La présente cause revêt un aspect international du fait que les quatres membres de la communauté héréditaire de feu Z.________ sont domiciliés à Caracas, au Venezuela. Il sied donc de contrôler d'office la question du droit applicable au litige, en fonction de la loi du for, singulièrement de la LDIP (RS 291; ATF 133 III 323 consid. 2.1). En l'espèce, le différend porte sur la validité de deux conventions signées par la recourante les 16 juin 1998 et 30 juin 2004. A teneur de la première convention, celle-ci s'est reconnue débitrice à l'endroit de feu Z.________ d'un reliquat ascendant à 1'669'457 fr. en capital; aux termes de la seconde, la recourante a reconnu devoir paiement aux membres de la communauté héréditaire de feu Z.________ d'un montant de 600'000 EUR en capital. Or ces deux accords comportent (à l'art. 6 pour celui du 16 juin 1998 et au ch. 4 pour celui du 30 juin 2004) une élection de droit expresse en faveur du droit suisse. Conformément à l' art. 116 al. 1 et 2 LDIP , c'est donc ce droit qui gouverne les relations juridiques nouées par les parties.</w:t>
      </w:r>
    </w:p>
    <w:p>
      <w:r>
        <w:rPr>
          <w:b/>
        </w:rPr>
        <w:t>E. 3.1</w:t>
      </w:r>
    </w:p>
    <w:p>
      <w:r>
        <w:t>Se référant à l' art. 96 LTF , la recourante reproche à l'autorité cantonale de n'avoir pas appliqué le droit étranger que désignent les règles de conflit figurant aux art. 91 et 92 de la loi fédérale sur le droit international privé du 18 décembre 1987 (LDIP; RS 291), cela alors que le contenu du droit étranger devait être établi d'office en vertu de l' art. 16 LDIP . Elle fait valoir que les documents produits par les intimés ne permettent pas d'établir leurs qualités d'héritiers. A l'en croire, le jugement du Tribunal de Première instance de Famille et Mineurs du Circuit judiciaire de la Zone métropolitaine de Caracas, du 24 novembre 1998, aurait dû faire l'objet d'exequatur en Suisse pour y déployer ses effets. Enfin, la recourante allègue que la répudiation de la succession de feu Z.________ « est plus que probable », car des procédures pénales avaient été diligentées contre le de cujus, ce qui, au vu des préventions invoquées, montrerait avec une grande vraisemblance que la succession était obérée.</w:t>
      </w:r>
    </w:p>
    <w:p>
      <w:r>
        <w:rPr>
          <w:b/>
        </w:rPr>
        <w:t>E. 3.2</w:t>
      </w:r>
    </w:p>
    <w:p>
      <w:r>
        <w:t>La recourante n'a jamais allégué que feu Z.________, ressortissant du Venezuela, avait pris domicilile à New-York, ville des Etats-Unis où il est décédé dans un hôpital après y avoir été admis quatre jours plus tôt (cf. p. 5 ch. 3 du recours). Il suit de là que le de cujus avait toujours son domicile au Venezuela lorsqu'il est décédé. Selon l' art. 1 al. 1 let. b LDIP , ladite loi régit notamment le droit applicable en matière internationale. Une situation d'internationalité présuppose qu'il existe une connexité avec un espace juridique autre que le droit suisse; comme la loi ne précise pas avec quelle intensité il doit y avoir connexité avec le droit étranger, il convient de décider s'il y a une connexité suffisante in concreto, à savoir au regard d'une question donnée. La jurisprudence du Tribunal fédéral admet ainsi l'internationalité de la cause lorsqu'une partie a son domicile ou son siège à l'étranger ( ATF 131 III 76 consid. 2.3 et les références doctrinales). A contrario, la succession d'une personne qui possédait la nationalité du Venezuela et y avait son dernier domicile avant son décès ne présente aucun aspect international. Elle relève manifestement de l'application du droit interne du Venezuela. La cour cantonale n'avait donc pas à déterminer le droit applicable à la succession de feu Z.________ sur la base des règles de conflit de la LDIP, puisque celle-ci ne revêtait aucun caractère international. Le jugement du Tribunal de Première instance de Famille et Mineurs du Circuit judiciaire de la Zone métropolitaine de Caracas, du 24 novembre 1998, atteste de la qualité d'héritiers des intimés. Il s'agit donc d'un jugement déclaratif, qui n'est pas susceptible d'une exécution forcée puisqu'il ne tend pas à l'exécution matérielle sur les biens ou la coercition sur les personnes. Autrement dit, l'efficacité de cette décision ne dépendait pas de la conduite d'une procédure d'exequatur en Suisse (cf. FRANÇOIS KNOEPFLER ET AL., Droit international privé suisse, 3e éd, Berne 2005, ch. 715 p. 408). Enfin la recourante affirme en vain que la succession en cause était censée répudiée. Cette succession, comme on l'a vu, était soumise au droit vénézuélien. Or , la présente cause étant une affaire pécuniaire, la partie recourante n'est pas autorisée à faire valoir devant le Tribunal fédéral que le droit étranger aurait été mal interprété ou appliqué erronément ( art. 96 let. b LTF ; ATF 133 III 446 consid. 3.1). Le grief doit être rejeté sous toutes ses facettes.</w:t>
      </w:r>
    </w:p>
    <w:p>
      <w:r>
        <w:rPr>
          <w:b/>
        </w:rPr>
        <w:t>E. 4.1</w:t>
      </w:r>
    </w:p>
    <w:p>
      <w:r>
        <w:t>La recourante se plaint d'une transgression de l' art. 8 CC . Elle soutient que les intimés n'ont pas établi par des moyens de preuve leur qualité pour agir. Ils se seraient contentés de produire des pièces lacunaires, voire mal traduites de l'espagnol ou même non traduites. La demanderesse revient encore à la charge à propos de l'acceptation de la succession de feu Z.________, dont les défendeurs auraient dû apporter la preuve. Puis elle reprend en quelques lignes son grief tiré d'une fausse application de normes de la LDIP.</w:t>
      </w:r>
    </w:p>
    <w:p>
      <w:r>
        <w:rPr>
          <w:b/>
        </w:rPr>
        <w:t>E. 4.2</w:t>
      </w:r>
    </w:p>
    <w:p>
      <w:r>
        <w:t>Il a été fait justice supra des critiques fondées sur la violation de dispositions de la LDIP. Quant au problème de l'acceptation de la succession du de cujus, il est, on le répète, soustrait à l'examen du Tribunal fédéral, qui ne contrôle pas l'application du droit étranger, en l'occurrence le droit vénézuélien. Il n'y a pas lieu de revenir sur ces points.</w:t>
      </w:r>
    </w:p>
    <w:p>
      <w:r>
        <w:rPr>
          <w:b/>
        </w:rPr>
        <w:t>E. 4.3</w:t>
      </w:r>
    </w:p>
    <w:p>
      <w:r>
        <w:t>La qualité pour agir (ou légitimation active) est une question de droit matériel, de sorte qu'elle ressortit au droit privé fédéral s'agissant des actions soumises à ce droit ( ATF 130 III 417 consid. 3.1; 126 III 59 consid. 1). Il incombe au demandeur de prouver les faits desquels il tire sa qualité pour agir ( ATF 130 III 417 ibidem; 123 III 60 consid. 3a). Dans le cas présent, il a été constaté ( art. 105 al. 1 LTF ) que la recourante et son associé indéfiniment responsable, par courrier du 11 juillet 2000 envoyé au conseil des héritiers de feu Z.________, se sont reconnus débiteurs de la somme de 1'569'457 fr. plus intérêts à 6 % dès le 1er janvier 1996; il était précisé explicitement dans ce pli que la dette trouvait son origine dans la convention conclue avec Z.________ le 16 juin 1998. Cette déclaration constitue sans conteste, du point de vue de la demanderesse, une reconnaissance de dette au sens de l' art. 17 CO adressée aux hoirs de feu Z.________, énonçant la cause de l'obligation. Il résulte au surplus du chiffre 1 de la convention conclue le 30 juin 2004 entre la recourante ainsi que son associé indéfiniment responsable, d'un côté, et les membres de la communauté héréditaire, de l'autre, que les premiers admettaient devoir aux seconds la somme de 600'000 EUR pour acquitter la créance dont était titulaire feu Z.________. Cet acte juridique s'analyse comme une nouvelle reconnaissance de dette - dont la cause était identique à la précédente mais qui portait sur une somme moindre que celle reconnue le 11 juillet 2000 compte tenu des paiements opérés dans l'intervalle - communiquée aux intimés en qualité de créanciers, lesquels en ont accepté la quotité de manière expresse en signant l'accord. Ces deux actes juridiques démontrent avec clarté que les intimés sont conjointement titulaires d'une créance à l'endroit de la recourante. Les défendeurs ont donc prouvé ( art. 8 CC ) les éléments factuels à partir desquels ils déduisent leur qualité pour agir en justice. Le moyen est infondé.</w:t>
      </w:r>
    </w:p>
    <w:p>
      <w:r>
        <w:rPr>
          <w:b/>
        </w:rPr>
        <w:t>E. 5.1</w:t>
      </w:r>
    </w:p>
    <w:p>
      <w:r>
        <w:t>Dans un dernier moyen, la recourante se prévaut d'une erreur essentielle au sens de l' art. 24 al. 1 ch. 4 CO . Elle serait faussement partie de l'idée que les fonds qui ont été confiés en juin 1995 par Z.________ à un tiers, dont la demanderesse est garante, appartenaient au patrimoine familial du prénommé, alors qu'il ressortirait d'un arrêt de la Cour d'Appel 10 de la République du Venezuela, rendu le 16 octobre 2006, qu'ils seraient en réalité le produit d'une infraction. La demanderesse ajoute que si tant elle-même que son associé indéfiniment responsable avaient su que feu Otero avait perpétré des actes criminels, ils n'auraient jamais conclu la convention du 16 juin 1998 avec ce dernier, pas plus que celle du 30 juin 2004 avec les membres de la communauté héréditaire, et ne se seraient pas engagés à verser les sommes reconnues à ces occasions.</w:t>
      </w:r>
    </w:p>
    <w:p>
      <w:r>
        <w:rPr>
          <w:b/>
        </w:rPr>
        <w:t>E. 5.2</w:t>
      </w:r>
    </w:p>
    <w:p>
      <w:r>
        <w:t>Lorsque la recourante affirme que feu Z.________ a confié des fonds non à elle-même, mais à un tiers, elle présente une version des faits qui ne correspond pas à celle retenue par les magistrats genevois, sans se prévaloir des exceptions ancrées à l' art. 105 al. 2 LTF . Elle y est irrecevable.</w:t>
      </w:r>
    </w:p>
    <w:p>
      <w:r>
        <w:rPr>
          <w:b/>
        </w:rPr>
        <w:t>E. 5.3</w:t>
      </w:r>
    </w:p>
    <w:p>
      <w:r>
        <w:t>Selon l' art. 23 CO , le contrat n'oblige pas celle des parties qui, au moment de le conclure, était dans une erreur essentielle. La recourante se prévaut tout d'abord en vain qu'elle se trouvait dans l'erreur quant à l'origine des fonds qui ont été confiés, selon convention du 10 juin 1995, par feu Z.________ à son associé indéfiniment responsable. A supposer que ces fonds soient d'origine criminelle - ce que la recourante n'est pas parvenue à établir en raison du décès de l'inculpé au cours de l'enquête qui était menée à son encontre au Venezuela - et que la recourante puisse invalider le contrat conclu par son associé pour erreur essentielle, elle devrait néanmoins restituer l'argent reçu sur la base du contrat invalidé, conformément aux règles sur l'enrichissement illégitime des art. 62 ss CO . Elle ne pourrait en effet empêcher la répétition en se retranchant derrière l' art. 66 CO , puisque cette norme ne concerne que les prestations qui ont été apportées pour provoquer ou récompenser un comportement illicite ou contraire aux moeurs ( ATF 134 III 438 consid. 3.2). Lorsque la recourante invoque l'erreur essentielle qui aurait entaché les reconnaissances de dette des 16 juin 1998 et 30 juin 2004, elle s'en prévaut d'une façon contraire aux règles de la bonne foi. Ce principe fait l'objet de l' art. 25 al. 1 CO . La jurisprudence récente a précisé sous cet angle que le respect de ce précepte est fonction d'une pesée appréciative, qui doit s'opérer entre l'intérêt de la victime de l'erreur à l'invalidation de l'acte et celui de son cocontractant à son maintien. Sont déterminants les intérêts des parties comme ils se présentaient au moment de l'invocation de l'erreur. Si les avantages que retire de l'invalidation la partie dans l'erreur sont disproportionnés par rapport aux désavantages encourus par la partie qui n'est pas dans l'erreur, il est contraire à la bonne foi de se prévaloir de l'erreur ( ATF 132 III 737 consid. 3.1 et la référence doctrinale). En l'espèce, l'avantage que retirerait la recourante de l'invalidation des différentes reconnaissances de dette qu'elle a souscrites serait hors de toute proportion comparé avec les inconvénients subis dans cette hypothèse par les intimés. De fait, ces derniers n'auraient plus de titre fondant leur prétention en paiement de 312'500 fr. représentant l'équivalent de 200'000 EUR, cela alors que la demanderesse n'a jamais contesté que les fonds dont la gestion lui avait été confiée provenaient de la fortune de feu Z.________, auquel les intimés ont succédé dans tous ses biens. Ce résultat immoral ne saurait être protégé dans un état de droit. C'est le lieu de rappeler que les intimés ne sauraient hériter de la culpabilité éventuelle du défunt (arrêt de la CourEDH Letter-Schwanz contre Suisse du 29 août 1997, Recueil CourEDH 1997-V p. 1509 § 53). Il y a lieu en conséquence de rejeter le grief dans la mesure de sa recevabilité, mais par des motifs substitués.</w:t>
      </w:r>
    </w:p>
    <w:p>
      <w:r>
        <w:rPr>
          <w:b/>
        </w:rPr>
        <w:t>E. 6</w:t>
      </w:r>
    </w:p>
    <w:p>
      <w:r>
        <w:t>Il suit de là que le recours doit être rejeté dans la mesure où il est recevable. Les frais judiciaires et les dépens seront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